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27BC" w14:textId="77777777" w:rsidR="004A2E75" w:rsidRDefault="004A2E75" w:rsidP="004A2E75">
      <w:pPr>
        <w:jc w:val="cente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2835"/>
        <w:gridCol w:w="2409"/>
        <w:gridCol w:w="1985"/>
        <w:gridCol w:w="2268"/>
      </w:tblGrid>
      <w:tr w:rsidR="004A2E75" w:rsidRPr="0060119A" w14:paraId="6502C45F" w14:textId="77777777" w:rsidTr="004A2E75">
        <w:tc>
          <w:tcPr>
            <w:tcW w:w="426" w:type="dxa"/>
            <w:tcBorders>
              <w:top w:val="single" w:sz="4" w:space="0" w:color="999999"/>
              <w:left w:val="single" w:sz="4" w:space="0" w:color="999999"/>
              <w:bottom w:val="single" w:sz="4" w:space="0" w:color="999999"/>
              <w:right w:val="single" w:sz="4" w:space="0" w:color="999999"/>
            </w:tcBorders>
            <w:vAlign w:val="center"/>
          </w:tcPr>
          <w:p w14:paraId="781F0518" w14:textId="77777777" w:rsidR="004A2E75" w:rsidRPr="0060119A" w:rsidRDefault="004A2E75" w:rsidP="00704C80">
            <w:pPr>
              <w:pStyle w:val="Intestazione"/>
              <w:tabs>
                <w:tab w:val="clear" w:pos="4819"/>
                <w:tab w:val="clear" w:pos="9638"/>
              </w:tabs>
              <w:spacing w:before="60" w:after="60"/>
              <w:jc w:val="center"/>
              <w:rPr>
                <w:iCs/>
                <w:sz w:val="18"/>
                <w:szCs w:val="18"/>
              </w:rPr>
            </w:pPr>
            <w:r w:rsidRPr="0060119A">
              <w:rPr>
                <w:iCs/>
                <w:sz w:val="18"/>
                <w:szCs w:val="18"/>
              </w:rPr>
              <w:t>N.</w:t>
            </w:r>
          </w:p>
        </w:tc>
        <w:tc>
          <w:tcPr>
            <w:tcW w:w="1134" w:type="dxa"/>
            <w:tcBorders>
              <w:top w:val="single" w:sz="4" w:space="0" w:color="999999"/>
              <w:left w:val="single" w:sz="4" w:space="0" w:color="999999"/>
              <w:bottom w:val="single" w:sz="4" w:space="0" w:color="999999"/>
              <w:right w:val="single" w:sz="4" w:space="0" w:color="999999"/>
            </w:tcBorders>
            <w:vAlign w:val="center"/>
          </w:tcPr>
          <w:p w14:paraId="591355FD" w14:textId="77777777" w:rsidR="004A2E75" w:rsidRPr="0060119A" w:rsidRDefault="004A2E75" w:rsidP="00704C80">
            <w:pPr>
              <w:pStyle w:val="Intestazione"/>
              <w:tabs>
                <w:tab w:val="clear" w:pos="4819"/>
                <w:tab w:val="clear" w:pos="9638"/>
              </w:tabs>
              <w:spacing w:before="60" w:after="60"/>
              <w:jc w:val="center"/>
              <w:rPr>
                <w:iCs/>
                <w:sz w:val="18"/>
                <w:szCs w:val="18"/>
              </w:rPr>
            </w:pPr>
            <w:r w:rsidRPr="0060119A">
              <w:rPr>
                <w:iCs/>
                <w:sz w:val="18"/>
                <w:szCs w:val="18"/>
              </w:rPr>
              <w:t>Categoria</w:t>
            </w:r>
            <w:r w:rsidRPr="0060119A">
              <w:rPr>
                <w:rStyle w:val="Rimandonotadichiusura"/>
                <w:iCs/>
                <w:sz w:val="18"/>
                <w:szCs w:val="18"/>
              </w:rPr>
              <w:endnoteReference w:id="1"/>
            </w:r>
          </w:p>
        </w:tc>
        <w:tc>
          <w:tcPr>
            <w:tcW w:w="2835" w:type="dxa"/>
            <w:tcBorders>
              <w:top w:val="single" w:sz="4" w:space="0" w:color="999999"/>
              <w:left w:val="single" w:sz="4" w:space="0" w:color="999999"/>
              <w:bottom w:val="single" w:sz="4" w:space="0" w:color="999999"/>
              <w:right w:val="single" w:sz="4" w:space="0" w:color="999999"/>
            </w:tcBorders>
            <w:vAlign w:val="center"/>
          </w:tcPr>
          <w:p w14:paraId="55D6B6E1" w14:textId="77777777" w:rsidR="004A2E75" w:rsidRPr="0060119A" w:rsidRDefault="004A2E75" w:rsidP="00704C80">
            <w:pPr>
              <w:pStyle w:val="Intestazione"/>
              <w:tabs>
                <w:tab w:val="clear" w:pos="4819"/>
                <w:tab w:val="clear" w:pos="9638"/>
              </w:tabs>
              <w:spacing w:before="60" w:after="60"/>
              <w:jc w:val="center"/>
              <w:rPr>
                <w:iCs/>
                <w:sz w:val="18"/>
                <w:szCs w:val="18"/>
              </w:rPr>
            </w:pPr>
            <w:r w:rsidRPr="0060119A">
              <w:rPr>
                <w:iCs/>
                <w:sz w:val="18"/>
                <w:szCs w:val="18"/>
              </w:rPr>
              <w:t>Nominativo venditore e/o</w:t>
            </w:r>
          </w:p>
          <w:p w14:paraId="2932CC20" w14:textId="77777777" w:rsidR="004A2E75" w:rsidRPr="0060119A" w:rsidRDefault="004A2E75" w:rsidP="00704C80">
            <w:pPr>
              <w:pStyle w:val="Intestazione"/>
              <w:tabs>
                <w:tab w:val="clear" w:pos="4819"/>
                <w:tab w:val="clear" w:pos="9638"/>
              </w:tabs>
              <w:spacing w:before="60" w:after="60"/>
              <w:jc w:val="center"/>
              <w:rPr>
                <w:iCs/>
                <w:sz w:val="18"/>
                <w:szCs w:val="18"/>
              </w:rPr>
            </w:pPr>
            <w:r w:rsidRPr="0060119A">
              <w:rPr>
                <w:iCs/>
                <w:sz w:val="18"/>
                <w:szCs w:val="18"/>
              </w:rPr>
              <w:t>Denominazione fornitore</w:t>
            </w:r>
          </w:p>
        </w:tc>
        <w:tc>
          <w:tcPr>
            <w:tcW w:w="2409" w:type="dxa"/>
            <w:tcBorders>
              <w:top w:val="single" w:sz="4" w:space="0" w:color="999999"/>
              <w:left w:val="single" w:sz="4" w:space="0" w:color="999999"/>
              <w:bottom w:val="single" w:sz="4" w:space="0" w:color="999999"/>
              <w:right w:val="single" w:sz="4" w:space="0" w:color="999999"/>
            </w:tcBorders>
            <w:vAlign w:val="center"/>
          </w:tcPr>
          <w:p w14:paraId="1CCDC12B" w14:textId="77777777" w:rsidR="004A2E75" w:rsidRPr="0060119A" w:rsidRDefault="004A2E75" w:rsidP="00704C80">
            <w:pPr>
              <w:pStyle w:val="Intestazione"/>
              <w:tabs>
                <w:tab w:val="clear" w:pos="4819"/>
                <w:tab w:val="clear" w:pos="9638"/>
              </w:tabs>
              <w:spacing w:before="60" w:after="60"/>
              <w:jc w:val="center"/>
              <w:rPr>
                <w:iCs/>
                <w:sz w:val="18"/>
                <w:szCs w:val="18"/>
              </w:rPr>
            </w:pPr>
            <w:r w:rsidRPr="0060119A">
              <w:rPr>
                <w:iCs/>
                <w:sz w:val="18"/>
                <w:szCs w:val="18"/>
              </w:rPr>
              <w:t>Preventivo n.</w:t>
            </w:r>
          </w:p>
        </w:tc>
        <w:tc>
          <w:tcPr>
            <w:tcW w:w="1985" w:type="dxa"/>
            <w:tcBorders>
              <w:top w:val="single" w:sz="4" w:space="0" w:color="999999"/>
              <w:left w:val="single" w:sz="4" w:space="0" w:color="999999"/>
              <w:bottom w:val="single" w:sz="4" w:space="0" w:color="999999"/>
              <w:right w:val="single" w:sz="4" w:space="0" w:color="999999"/>
            </w:tcBorders>
            <w:vAlign w:val="center"/>
          </w:tcPr>
          <w:p w14:paraId="1C78446C" w14:textId="77777777" w:rsidR="004A2E75" w:rsidRPr="0060119A" w:rsidRDefault="004A2E75" w:rsidP="00704C80">
            <w:pPr>
              <w:pStyle w:val="Intestazione"/>
              <w:tabs>
                <w:tab w:val="clear" w:pos="4819"/>
                <w:tab w:val="clear" w:pos="9638"/>
              </w:tabs>
              <w:spacing w:before="60" w:after="60"/>
              <w:jc w:val="center"/>
              <w:rPr>
                <w:iCs/>
                <w:sz w:val="18"/>
                <w:szCs w:val="18"/>
              </w:rPr>
            </w:pPr>
            <w:r>
              <w:rPr>
                <w:iCs/>
                <w:sz w:val="18"/>
                <w:szCs w:val="18"/>
              </w:rPr>
              <w:t>D</w:t>
            </w:r>
            <w:r w:rsidRPr="0060119A">
              <w:rPr>
                <w:iCs/>
                <w:sz w:val="18"/>
                <w:szCs w:val="18"/>
              </w:rPr>
              <w:t>ata preventivo</w:t>
            </w:r>
            <w:r w:rsidRPr="0060119A">
              <w:rPr>
                <w:rStyle w:val="Rimandonotadichiusura"/>
                <w:iCs/>
                <w:sz w:val="18"/>
                <w:szCs w:val="18"/>
              </w:rPr>
              <w:endnoteReference w:id="2"/>
            </w:r>
          </w:p>
        </w:tc>
        <w:tc>
          <w:tcPr>
            <w:tcW w:w="2268" w:type="dxa"/>
            <w:tcBorders>
              <w:top w:val="single" w:sz="4" w:space="0" w:color="999999"/>
              <w:left w:val="single" w:sz="4" w:space="0" w:color="999999"/>
              <w:bottom w:val="single" w:sz="4" w:space="0" w:color="999999"/>
              <w:right w:val="single" w:sz="4" w:space="0" w:color="999999"/>
            </w:tcBorders>
            <w:vAlign w:val="center"/>
          </w:tcPr>
          <w:p w14:paraId="4CE5A6BF" w14:textId="77777777" w:rsidR="004A2E75" w:rsidRPr="0060119A" w:rsidRDefault="004A2E75" w:rsidP="00704C80">
            <w:pPr>
              <w:pStyle w:val="Intestazione"/>
              <w:tabs>
                <w:tab w:val="clear" w:pos="4819"/>
                <w:tab w:val="clear" w:pos="9638"/>
              </w:tabs>
              <w:spacing w:before="60" w:after="60"/>
              <w:jc w:val="center"/>
              <w:rPr>
                <w:iCs/>
                <w:sz w:val="18"/>
                <w:szCs w:val="18"/>
              </w:rPr>
            </w:pPr>
            <w:r w:rsidRPr="0060119A">
              <w:rPr>
                <w:iCs/>
                <w:sz w:val="18"/>
                <w:szCs w:val="18"/>
              </w:rPr>
              <w:t>Imponibile come da preventivo</w:t>
            </w:r>
          </w:p>
          <w:p w14:paraId="213ABA1E" w14:textId="77777777" w:rsidR="004A2E75" w:rsidRPr="0060119A" w:rsidRDefault="004A2E75" w:rsidP="00704C80">
            <w:pPr>
              <w:pStyle w:val="Intestazione"/>
              <w:tabs>
                <w:tab w:val="clear" w:pos="4819"/>
                <w:tab w:val="clear" w:pos="9638"/>
              </w:tabs>
              <w:spacing w:before="60" w:after="60"/>
              <w:jc w:val="center"/>
              <w:rPr>
                <w:iCs/>
                <w:sz w:val="18"/>
                <w:szCs w:val="18"/>
              </w:rPr>
            </w:pPr>
            <w:r w:rsidRPr="0060119A">
              <w:rPr>
                <w:iCs/>
                <w:sz w:val="18"/>
                <w:szCs w:val="18"/>
              </w:rPr>
              <w:t>(</w:t>
            </w:r>
            <w:proofErr w:type="gramStart"/>
            <w:r w:rsidRPr="0060119A">
              <w:rPr>
                <w:iCs/>
                <w:sz w:val="18"/>
                <w:szCs w:val="18"/>
              </w:rPr>
              <w:t>Euro</w:t>
            </w:r>
            <w:proofErr w:type="gramEnd"/>
            <w:r w:rsidRPr="0060119A">
              <w:rPr>
                <w:iCs/>
                <w:sz w:val="18"/>
                <w:szCs w:val="18"/>
              </w:rPr>
              <w:t>)</w:t>
            </w:r>
            <w:r w:rsidRPr="0060119A">
              <w:rPr>
                <w:rStyle w:val="Rimandonotadichiusura"/>
                <w:iCs/>
                <w:sz w:val="18"/>
                <w:szCs w:val="18"/>
              </w:rPr>
              <w:t xml:space="preserve"> </w:t>
            </w:r>
            <w:r w:rsidRPr="0060119A">
              <w:rPr>
                <w:rStyle w:val="Rimandonotadichiusura"/>
                <w:iCs/>
                <w:sz w:val="18"/>
                <w:szCs w:val="18"/>
              </w:rPr>
              <w:endnoteReference w:id="3"/>
            </w:r>
          </w:p>
        </w:tc>
      </w:tr>
      <w:tr w:rsidR="004A2E75" w:rsidRPr="0060119A" w14:paraId="0DC9A907" w14:textId="77777777" w:rsidTr="004A2E75">
        <w:tc>
          <w:tcPr>
            <w:tcW w:w="426" w:type="dxa"/>
            <w:tcBorders>
              <w:top w:val="single" w:sz="4" w:space="0" w:color="999999"/>
              <w:left w:val="single" w:sz="4" w:space="0" w:color="999999"/>
              <w:bottom w:val="single" w:sz="4" w:space="0" w:color="999999"/>
              <w:right w:val="single" w:sz="4" w:space="0" w:color="999999"/>
            </w:tcBorders>
            <w:vAlign w:val="center"/>
          </w:tcPr>
          <w:p w14:paraId="3634688C" w14:textId="1AB8BC1A" w:rsidR="004A2E75" w:rsidRPr="009A1B28" w:rsidRDefault="004A2E75" w:rsidP="00704C80">
            <w:pPr>
              <w:spacing w:before="120"/>
              <w:jc w:val="center"/>
              <w:rPr>
                <w:sz w:val="16"/>
                <w:szCs w:val="16"/>
              </w:rPr>
            </w:pPr>
            <w:r w:rsidRPr="009A1B28">
              <w:rPr>
                <w:sz w:val="16"/>
                <w:szCs w:val="16"/>
              </w:rPr>
              <w:t>1</w:t>
            </w:r>
            <w:r>
              <w:rPr>
                <w:sz w:val="16"/>
                <w:szCs w:val="16"/>
              </w:rPr>
              <w:t>1</w:t>
            </w:r>
            <w:r w:rsidRPr="009A1B28">
              <w:rPr>
                <w:sz w:val="16"/>
                <w:szCs w:val="16"/>
              </w:rPr>
              <w:t>.</w:t>
            </w:r>
          </w:p>
        </w:tc>
        <w:tc>
          <w:tcPr>
            <w:tcW w:w="1134" w:type="dxa"/>
            <w:tcBorders>
              <w:top w:val="single" w:sz="4" w:space="0" w:color="999999"/>
              <w:left w:val="single" w:sz="4" w:space="0" w:color="999999"/>
              <w:bottom w:val="single" w:sz="4" w:space="0" w:color="999999"/>
              <w:right w:val="single" w:sz="4" w:space="0" w:color="999999"/>
            </w:tcBorders>
            <w:vAlign w:val="center"/>
          </w:tcPr>
          <w:p w14:paraId="139B9C40" w14:textId="77777777" w:rsidR="004A2E75" w:rsidRPr="0060119A" w:rsidRDefault="004A2E75"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53C61179" w14:textId="77777777" w:rsidR="004A2E75" w:rsidRPr="0060119A" w:rsidRDefault="004A2E75"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70994112"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426241E1" w14:textId="77777777" w:rsidR="004A2E75" w:rsidRPr="0060119A" w:rsidRDefault="004A2E75"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4E8635C5" w14:textId="77777777" w:rsidR="004A2E75" w:rsidRPr="0060119A" w:rsidRDefault="004A2E75" w:rsidP="00704C80">
            <w:pPr>
              <w:spacing w:before="120"/>
              <w:jc w:val="right"/>
              <w:rPr>
                <w:sz w:val="18"/>
                <w:szCs w:val="18"/>
              </w:rPr>
            </w:pPr>
          </w:p>
        </w:tc>
      </w:tr>
      <w:tr w:rsidR="004A2E75" w:rsidRPr="0060119A" w14:paraId="4807FBF7" w14:textId="77777777" w:rsidTr="004A2E75">
        <w:tc>
          <w:tcPr>
            <w:tcW w:w="426" w:type="dxa"/>
            <w:tcBorders>
              <w:top w:val="single" w:sz="4" w:space="0" w:color="999999"/>
              <w:left w:val="single" w:sz="4" w:space="0" w:color="999999"/>
              <w:bottom w:val="single" w:sz="4" w:space="0" w:color="999999"/>
              <w:right w:val="single" w:sz="4" w:space="0" w:color="999999"/>
            </w:tcBorders>
          </w:tcPr>
          <w:p w14:paraId="0C661896" w14:textId="43452629" w:rsidR="004A2E75" w:rsidRPr="009A1B28" w:rsidRDefault="004A2E75" w:rsidP="00704C80">
            <w:pPr>
              <w:spacing w:before="120"/>
              <w:jc w:val="center"/>
              <w:rPr>
                <w:sz w:val="16"/>
                <w:szCs w:val="16"/>
              </w:rPr>
            </w:pPr>
            <w:r>
              <w:rPr>
                <w:sz w:val="16"/>
                <w:szCs w:val="16"/>
              </w:rPr>
              <w:t>12</w:t>
            </w:r>
            <w:r w:rsidRPr="009A1B28">
              <w:rPr>
                <w:sz w:val="16"/>
                <w:szCs w:val="16"/>
              </w:rPr>
              <w:t>.</w:t>
            </w:r>
          </w:p>
        </w:tc>
        <w:tc>
          <w:tcPr>
            <w:tcW w:w="1134" w:type="dxa"/>
            <w:tcBorders>
              <w:top w:val="single" w:sz="4" w:space="0" w:color="999999"/>
              <w:left w:val="single" w:sz="4" w:space="0" w:color="999999"/>
              <w:bottom w:val="single" w:sz="4" w:space="0" w:color="999999"/>
              <w:right w:val="single" w:sz="4" w:space="0" w:color="999999"/>
            </w:tcBorders>
          </w:tcPr>
          <w:p w14:paraId="43C9D7F5" w14:textId="77777777" w:rsidR="004A2E75" w:rsidRPr="0060119A" w:rsidRDefault="004A2E75"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316EA4F3" w14:textId="77777777" w:rsidR="004A2E75" w:rsidRPr="0060119A" w:rsidRDefault="004A2E75"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7CBADB09"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2771E387" w14:textId="77777777" w:rsidR="004A2E75" w:rsidRPr="0060119A" w:rsidRDefault="004A2E75"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5732843D" w14:textId="77777777" w:rsidR="004A2E75" w:rsidRPr="0060119A" w:rsidRDefault="004A2E75" w:rsidP="00704C80">
            <w:pPr>
              <w:spacing w:before="120"/>
              <w:jc w:val="right"/>
              <w:rPr>
                <w:sz w:val="18"/>
                <w:szCs w:val="18"/>
              </w:rPr>
            </w:pPr>
          </w:p>
        </w:tc>
      </w:tr>
      <w:tr w:rsidR="004A2E75" w:rsidRPr="0060119A" w14:paraId="42AB8CEB" w14:textId="77777777" w:rsidTr="004A2E75">
        <w:tc>
          <w:tcPr>
            <w:tcW w:w="426" w:type="dxa"/>
            <w:tcBorders>
              <w:top w:val="single" w:sz="4" w:space="0" w:color="999999"/>
              <w:left w:val="single" w:sz="4" w:space="0" w:color="999999"/>
              <w:bottom w:val="single" w:sz="4" w:space="0" w:color="999999"/>
              <w:right w:val="single" w:sz="4" w:space="0" w:color="999999"/>
            </w:tcBorders>
          </w:tcPr>
          <w:p w14:paraId="755A0A78" w14:textId="4ED5D32D" w:rsidR="004A2E75" w:rsidRPr="009A1B28" w:rsidRDefault="004A2E75" w:rsidP="00704C80">
            <w:pPr>
              <w:spacing w:before="120"/>
              <w:jc w:val="center"/>
              <w:rPr>
                <w:sz w:val="16"/>
                <w:szCs w:val="16"/>
              </w:rPr>
            </w:pPr>
            <w:r>
              <w:rPr>
                <w:sz w:val="16"/>
                <w:szCs w:val="16"/>
              </w:rPr>
              <w:t>1</w:t>
            </w:r>
            <w:r w:rsidRPr="009A1B28">
              <w:rPr>
                <w:sz w:val="16"/>
                <w:szCs w:val="16"/>
              </w:rPr>
              <w:t>3.</w:t>
            </w:r>
          </w:p>
        </w:tc>
        <w:tc>
          <w:tcPr>
            <w:tcW w:w="1134" w:type="dxa"/>
            <w:tcBorders>
              <w:top w:val="single" w:sz="4" w:space="0" w:color="999999"/>
              <w:left w:val="single" w:sz="4" w:space="0" w:color="999999"/>
              <w:bottom w:val="single" w:sz="4" w:space="0" w:color="999999"/>
              <w:right w:val="single" w:sz="4" w:space="0" w:color="999999"/>
            </w:tcBorders>
          </w:tcPr>
          <w:p w14:paraId="1A509256" w14:textId="77777777" w:rsidR="004A2E75" w:rsidRPr="0060119A" w:rsidRDefault="004A2E75"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200AA0B8" w14:textId="77777777" w:rsidR="004A2E75" w:rsidRPr="0060119A" w:rsidRDefault="004A2E75"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52C48484"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581C9557" w14:textId="77777777" w:rsidR="004A2E75" w:rsidRPr="0060119A" w:rsidRDefault="004A2E75"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5B9A1F31" w14:textId="77777777" w:rsidR="004A2E75" w:rsidRPr="0060119A" w:rsidRDefault="004A2E75" w:rsidP="00704C80">
            <w:pPr>
              <w:spacing w:before="120"/>
              <w:jc w:val="right"/>
              <w:rPr>
                <w:sz w:val="18"/>
                <w:szCs w:val="18"/>
              </w:rPr>
            </w:pPr>
          </w:p>
        </w:tc>
      </w:tr>
      <w:tr w:rsidR="004A2E75" w:rsidRPr="0060119A" w14:paraId="50D635F2" w14:textId="77777777" w:rsidTr="004A2E75">
        <w:tc>
          <w:tcPr>
            <w:tcW w:w="426" w:type="dxa"/>
            <w:tcBorders>
              <w:top w:val="single" w:sz="4" w:space="0" w:color="999999"/>
              <w:left w:val="single" w:sz="4" w:space="0" w:color="999999"/>
              <w:bottom w:val="single" w:sz="4" w:space="0" w:color="999999"/>
              <w:right w:val="single" w:sz="4" w:space="0" w:color="999999"/>
            </w:tcBorders>
          </w:tcPr>
          <w:p w14:paraId="4A49DF59" w14:textId="7C134ED8" w:rsidR="004A2E75" w:rsidRPr="009A1B28" w:rsidRDefault="004A2E75" w:rsidP="00704C80">
            <w:pPr>
              <w:spacing w:before="120"/>
              <w:jc w:val="center"/>
              <w:rPr>
                <w:sz w:val="16"/>
                <w:szCs w:val="16"/>
              </w:rPr>
            </w:pPr>
            <w:r>
              <w:rPr>
                <w:sz w:val="16"/>
                <w:szCs w:val="16"/>
              </w:rPr>
              <w:t>1</w:t>
            </w:r>
            <w:r w:rsidRPr="009A1B28">
              <w:rPr>
                <w:sz w:val="16"/>
                <w:szCs w:val="16"/>
              </w:rPr>
              <w:t>4.</w:t>
            </w:r>
          </w:p>
        </w:tc>
        <w:tc>
          <w:tcPr>
            <w:tcW w:w="1134" w:type="dxa"/>
            <w:tcBorders>
              <w:top w:val="single" w:sz="4" w:space="0" w:color="999999"/>
              <w:left w:val="single" w:sz="4" w:space="0" w:color="999999"/>
              <w:bottom w:val="single" w:sz="4" w:space="0" w:color="999999"/>
              <w:right w:val="single" w:sz="4" w:space="0" w:color="999999"/>
            </w:tcBorders>
          </w:tcPr>
          <w:p w14:paraId="0F0A3A38" w14:textId="77777777" w:rsidR="004A2E75" w:rsidRPr="0060119A" w:rsidRDefault="004A2E75"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16682481" w14:textId="77777777" w:rsidR="004A2E75" w:rsidRPr="0060119A" w:rsidRDefault="004A2E75"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344D1825"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0CA40E86" w14:textId="77777777" w:rsidR="004A2E75" w:rsidRPr="0060119A" w:rsidRDefault="004A2E75"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0CCDDE4F" w14:textId="77777777" w:rsidR="004A2E75" w:rsidRPr="0060119A" w:rsidRDefault="004A2E75" w:rsidP="00704C80">
            <w:pPr>
              <w:spacing w:before="120"/>
              <w:jc w:val="right"/>
              <w:rPr>
                <w:sz w:val="18"/>
                <w:szCs w:val="18"/>
              </w:rPr>
            </w:pPr>
          </w:p>
        </w:tc>
      </w:tr>
      <w:tr w:rsidR="004A2E75" w:rsidRPr="0060119A" w14:paraId="76E35773" w14:textId="77777777" w:rsidTr="004A2E75">
        <w:tc>
          <w:tcPr>
            <w:tcW w:w="426" w:type="dxa"/>
            <w:tcBorders>
              <w:top w:val="single" w:sz="4" w:space="0" w:color="999999"/>
              <w:left w:val="single" w:sz="4" w:space="0" w:color="999999"/>
              <w:bottom w:val="single" w:sz="4" w:space="0" w:color="999999"/>
              <w:right w:val="single" w:sz="4" w:space="0" w:color="999999"/>
            </w:tcBorders>
          </w:tcPr>
          <w:p w14:paraId="44E05610" w14:textId="0BC4AB15" w:rsidR="004A2E75" w:rsidRPr="009A1B28" w:rsidRDefault="004A2E75" w:rsidP="00704C80">
            <w:pPr>
              <w:spacing w:before="120"/>
              <w:jc w:val="center"/>
              <w:rPr>
                <w:sz w:val="16"/>
                <w:szCs w:val="16"/>
              </w:rPr>
            </w:pPr>
            <w:r>
              <w:rPr>
                <w:sz w:val="16"/>
                <w:szCs w:val="16"/>
              </w:rPr>
              <w:t>1</w:t>
            </w:r>
            <w:r w:rsidRPr="009A1B28">
              <w:rPr>
                <w:sz w:val="16"/>
                <w:szCs w:val="16"/>
              </w:rPr>
              <w:t>5.</w:t>
            </w:r>
          </w:p>
        </w:tc>
        <w:tc>
          <w:tcPr>
            <w:tcW w:w="1134" w:type="dxa"/>
            <w:tcBorders>
              <w:top w:val="single" w:sz="4" w:space="0" w:color="999999"/>
              <w:left w:val="single" w:sz="4" w:space="0" w:color="999999"/>
              <w:bottom w:val="single" w:sz="4" w:space="0" w:color="999999"/>
              <w:right w:val="single" w:sz="4" w:space="0" w:color="999999"/>
            </w:tcBorders>
          </w:tcPr>
          <w:p w14:paraId="6D5272C9" w14:textId="77777777" w:rsidR="004A2E75" w:rsidRPr="0060119A" w:rsidRDefault="004A2E75"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0F0A7418" w14:textId="77777777" w:rsidR="004A2E75" w:rsidRPr="0060119A" w:rsidRDefault="004A2E75"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1F1485ED"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71629A54" w14:textId="77777777" w:rsidR="004A2E75" w:rsidRPr="0060119A" w:rsidRDefault="004A2E75"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6EC7826C" w14:textId="77777777" w:rsidR="004A2E75" w:rsidRPr="0060119A" w:rsidRDefault="004A2E75" w:rsidP="00704C80">
            <w:pPr>
              <w:spacing w:before="120"/>
              <w:jc w:val="right"/>
              <w:rPr>
                <w:sz w:val="18"/>
                <w:szCs w:val="18"/>
              </w:rPr>
            </w:pPr>
          </w:p>
        </w:tc>
      </w:tr>
      <w:tr w:rsidR="004A2E75" w:rsidRPr="0060119A" w14:paraId="54EA491C" w14:textId="77777777" w:rsidTr="004A2E75">
        <w:tc>
          <w:tcPr>
            <w:tcW w:w="426" w:type="dxa"/>
            <w:tcBorders>
              <w:top w:val="single" w:sz="4" w:space="0" w:color="999999"/>
              <w:left w:val="single" w:sz="4" w:space="0" w:color="999999"/>
              <w:bottom w:val="single" w:sz="4" w:space="0" w:color="999999"/>
              <w:right w:val="single" w:sz="4" w:space="0" w:color="999999"/>
            </w:tcBorders>
          </w:tcPr>
          <w:p w14:paraId="0A9EDE7A" w14:textId="12E40CCA" w:rsidR="004A2E75" w:rsidRPr="009A1B28" w:rsidRDefault="004A2E75" w:rsidP="00704C80">
            <w:pPr>
              <w:spacing w:before="120"/>
              <w:jc w:val="center"/>
              <w:rPr>
                <w:sz w:val="16"/>
                <w:szCs w:val="16"/>
              </w:rPr>
            </w:pPr>
            <w:r>
              <w:rPr>
                <w:sz w:val="16"/>
                <w:szCs w:val="16"/>
              </w:rPr>
              <w:t>1</w:t>
            </w:r>
            <w:r w:rsidRPr="009A1B28">
              <w:rPr>
                <w:sz w:val="16"/>
                <w:szCs w:val="16"/>
              </w:rPr>
              <w:t>6.</w:t>
            </w:r>
          </w:p>
        </w:tc>
        <w:tc>
          <w:tcPr>
            <w:tcW w:w="1134" w:type="dxa"/>
            <w:tcBorders>
              <w:top w:val="single" w:sz="4" w:space="0" w:color="999999"/>
              <w:left w:val="single" w:sz="4" w:space="0" w:color="999999"/>
              <w:bottom w:val="single" w:sz="4" w:space="0" w:color="999999"/>
              <w:right w:val="single" w:sz="4" w:space="0" w:color="999999"/>
            </w:tcBorders>
          </w:tcPr>
          <w:p w14:paraId="0BC9A000" w14:textId="77777777" w:rsidR="004A2E75" w:rsidRPr="0060119A" w:rsidRDefault="004A2E75"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510BE3E2" w14:textId="77777777" w:rsidR="004A2E75" w:rsidRPr="0060119A" w:rsidRDefault="004A2E75"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503244AB"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33813FB8" w14:textId="77777777" w:rsidR="004A2E75" w:rsidRPr="0060119A" w:rsidRDefault="004A2E75"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00764965" w14:textId="77777777" w:rsidR="004A2E75" w:rsidRPr="0060119A" w:rsidRDefault="004A2E75" w:rsidP="00704C80">
            <w:pPr>
              <w:spacing w:before="120"/>
              <w:jc w:val="right"/>
              <w:rPr>
                <w:sz w:val="18"/>
                <w:szCs w:val="18"/>
              </w:rPr>
            </w:pPr>
          </w:p>
        </w:tc>
      </w:tr>
      <w:tr w:rsidR="004A2E75" w:rsidRPr="0060119A" w14:paraId="372DDEE5" w14:textId="77777777" w:rsidTr="004A2E75">
        <w:tc>
          <w:tcPr>
            <w:tcW w:w="426" w:type="dxa"/>
            <w:tcBorders>
              <w:top w:val="single" w:sz="4" w:space="0" w:color="999999"/>
              <w:left w:val="single" w:sz="4" w:space="0" w:color="999999"/>
              <w:bottom w:val="single" w:sz="4" w:space="0" w:color="999999"/>
              <w:right w:val="single" w:sz="4" w:space="0" w:color="999999"/>
            </w:tcBorders>
          </w:tcPr>
          <w:p w14:paraId="3B039176" w14:textId="1EFDA418" w:rsidR="004A2E75" w:rsidRPr="009A1B28" w:rsidRDefault="004A2E75" w:rsidP="00704C80">
            <w:pPr>
              <w:spacing w:before="120"/>
              <w:jc w:val="center"/>
              <w:rPr>
                <w:sz w:val="16"/>
                <w:szCs w:val="16"/>
              </w:rPr>
            </w:pPr>
            <w:r>
              <w:rPr>
                <w:sz w:val="16"/>
                <w:szCs w:val="16"/>
              </w:rPr>
              <w:t>17</w:t>
            </w:r>
            <w:r w:rsidRPr="009A1B28">
              <w:rPr>
                <w:sz w:val="16"/>
                <w:szCs w:val="16"/>
              </w:rPr>
              <w:t>.</w:t>
            </w:r>
          </w:p>
        </w:tc>
        <w:tc>
          <w:tcPr>
            <w:tcW w:w="1134" w:type="dxa"/>
            <w:tcBorders>
              <w:top w:val="single" w:sz="4" w:space="0" w:color="999999"/>
              <w:left w:val="single" w:sz="4" w:space="0" w:color="999999"/>
              <w:bottom w:val="single" w:sz="4" w:space="0" w:color="999999"/>
              <w:right w:val="single" w:sz="4" w:space="0" w:color="999999"/>
            </w:tcBorders>
          </w:tcPr>
          <w:p w14:paraId="12F03C74" w14:textId="77777777" w:rsidR="004A2E75" w:rsidRPr="0060119A" w:rsidRDefault="004A2E75"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254BE6CA" w14:textId="77777777" w:rsidR="004A2E75" w:rsidRPr="0060119A" w:rsidRDefault="004A2E75"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6BE19325"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47D6E262" w14:textId="77777777" w:rsidR="004A2E75" w:rsidRPr="0060119A" w:rsidRDefault="004A2E75"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19B7B1D4" w14:textId="77777777" w:rsidR="004A2E75" w:rsidRPr="0060119A" w:rsidRDefault="004A2E75" w:rsidP="00704C80">
            <w:pPr>
              <w:spacing w:before="120"/>
              <w:jc w:val="right"/>
              <w:rPr>
                <w:sz w:val="18"/>
                <w:szCs w:val="18"/>
              </w:rPr>
            </w:pPr>
          </w:p>
        </w:tc>
      </w:tr>
      <w:tr w:rsidR="004A2E75" w:rsidRPr="0060119A" w14:paraId="53653FAC" w14:textId="77777777" w:rsidTr="004A2E75">
        <w:tc>
          <w:tcPr>
            <w:tcW w:w="426" w:type="dxa"/>
            <w:tcBorders>
              <w:top w:val="single" w:sz="4" w:space="0" w:color="999999"/>
              <w:left w:val="single" w:sz="4" w:space="0" w:color="999999"/>
              <w:bottom w:val="single" w:sz="4" w:space="0" w:color="999999"/>
              <w:right w:val="single" w:sz="4" w:space="0" w:color="999999"/>
            </w:tcBorders>
          </w:tcPr>
          <w:p w14:paraId="75CCB89A" w14:textId="038CEB97" w:rsidR="004A2E75" w:rsidRPr="009A1B28" w:rsidRDefault="004A2E75" w:rsidP="00704C80">
            <w:pPr>
              <w:spacing w:before="120"/>
              <w:jc w:val="center"/>
              <w:rPr>
                <w:sz w:val="16"/>
                <w:szCs w:val="16"/>
              </w:rPr>
            </w:pPr>
            <w:r>
              <w:rPr>
                <w:sz w:val="16"/>
                <w:szCs w:val="16"/>
              </w:rPr>
              <w:t>1</w:t>
            </w:r>
            <w:r w:rsidRPr="009A1B28">
              <w:rPr>
                <w:sz w:val="16"/>
                <w:szCs w:val="16"/>
              </w:rPr>
              <w:t>8.</w:t>
            </w:r>
          </w:p>
        </w:tc>
        <w:tc>
          <w:tcPr>
            <w:tcW w:w="1134" w:type="dxa"/>
            <w:tcBorders>
              <w:top w:val="single" w:sz="4" w:space="0" w:color="999999"/>
              <w:left w:val="single" w:sz="4" w:space="0" w:color="999999"/>
              <w:bottom w:val="single" w:sz="4" w:space="0" w:color="999999"/>
              <w:right w:val="single" w:sz="4" w:space="0" w:color="999999"/>
            </w:tcBorders>
          </w:tcPr>
          <w:p w14:paraId="49D2DBBD" w14:textId="77777777" w:rsidR="004A2E75" w:rsidRPr="0060119A" w:rsidRDefault="004A2E75"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3944BBCD" w14:textId="77777777" w:rsidR="004A2E75" w:rsidRPr="0060119A" w:rsidRDefault="004A2E75"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1CE56EA8"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28D2EBF0" w14:textId="77777777" w:rsidR="004A2E75" w:rsidRPr="0060119A" w:rsidRDefault="004A2E75"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3EB225E9" w14:textId="77777777" w:rsidR="004A2E75" w:rsidRPr="0060119A" w:rsidRDefault="004A2E75" w:rsidP="00704C80">
            <w:pPr>
              <w:spacing w:before="120"/>
              <w:jc w:val="right"/>
              <w:rPr>
                <w:sz w:val="18"/>
                <w:szCs w:val="18"/>
              </w:rPr>
            </w:pPr>
          </w:p>
        </w:tc>
      </w:tr>
      <w:tr w:rsidR="004A2E75" w:rsidRPr="0060119A" w14:paraId="70FFE531" w14:textId="77777777" w:rsidTr="004A2E75">
        <w:tc>
          <w:tcPr>
            <w:tcW w:w="426" w:type="dxa"/>
            <w:tcBorders>
              <w:top w:val="single" w:sz="4" w:space="0" w:color="999999"/>
              <w:left w:val="single" w:sz="4" w:space="0" w:color="999999"/>
              <w:bottom w:val="single" w:sz="4" w:space="0" w:color="999999"/>
              <w:right w:val="single" w:sz="4" w:space="0" w:color="999999"/>
            </w:tcBorders>
          </w:tcPr>
          <w:p w14:paraId="6E489621" w14:textId="5036A9D1" w:rsidR="004A2E75" w:rsidRPr="009A1B28" w:rsidRDefault="004A2E75" w:rsidP="00704C80">
            <w:pPr>
              <w:spacing w:before="120"/>
              <w:jc w:val="center"/>
              <w:rPr>
                <w:sz w:val="16"/>
                <w:szCs w:val="16"/>
              </w:rPr>
            </w:pPr>
            <w:r>
              <w:rPr>
                <w:sz w:val="16"/>
                <w:szCs w:val="16"/>
              </w:rPr>
              <w:t>1</w:t>
            </w:r>
            <w:r w:rsidRPr="009A1B28">
              <w:rPr>
                <w:sz w:val="16"/>
                <w:szCs w:val="16"/>
              </w:rPr>
              <w:t>9.</w:t>
            </w:r>
          </w:p>
        </w:tc>
        <w:tc>
          <w:tcPr>
            <w:tcW w:w="1134" w:type="dxa"/>
            <w:tcBorders>
              <w:top w:val="single" w:sz="4" w:space="0" w:color="999999"/>
              <w:left w:val="single" w:sz="4" w:space="0" w:color="999999"/>
              <w:bottom w:val="single" w:sz="4" w:space="0" w:color="999999"/>
              <w:right w:val="single" w:sz="4" w:space="0" w:color="999999"/>
            </w:tcBorders>
          </w:tcPr>
          <w:p w14:paraId="71B4585C" w14:textId="77777777" w:rsidR="004A2E75" w:rsidRPr="0060119A" w:rsidRDefault="004A2E75"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2EAEC2AD" w14:textId="77777777" w:rsidR="004A2E75" w:rsidRPr="0060119A" w:rsidRDefault="004A2E75" w:rsidP="00C2635C">
            <w:pPr>
              <w:spacing w:before="120"/>
              <w:jc w:val="right"/>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016F2711"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203A5DD7" w14:textId="77777777" w:rsidR="004A2E75" w:rsidRPr="0060119A" w:rsidRDefault="004A2E75"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7A2ED074" w14:textId="77777777" w:rsidR="004A2E75" w:rsidRPr="0060119A" w:rsidRDefault="004A2E75" w:rsidP="00704C80">
            <w:pPr>
              <w:spacing w:before="120"/>
              <w:jc w:val="right"/>
              <w:rPr>
                <w:sz w:val="18"/>
                <w:szCs w:val="18"/>
              </w:rPr>
            </w:pPr>
          </w:p>
        </w:tc>
      </w:tr>
      <w:tr w:rsidR="004A2E75" w:rsidRPr="0060119A" w14:paraId="2F69CD9B" w14:textId="77777777" w:rsidTr="004A2E75">
        <w:tc>
          <w:tcPr>
            <w:tcW w:w="426" w:type="dxa"/>
            <w:tcBorders>
              <w:top w:val="single" w:sz="4" w:space="0" w:color="999999"/>
              <w:left w:val="single" w:sz="4" w:space="0" w:color="999999"/>
              <w:bottom w:val="single" w:sz="4" w:space="0" w:color="999999"/>
              <w:right w:val="single" w:sz="4" w:space="0" w:color="999999"/>
            </w:tcBorders>
          </w:tcPr>
          <w:p w14:paraId="24087260" w14:textId="73A9937F" w:rsidR="004A2E75" w:rsidRPr="009A1B28" w:rsidRDefault="004A2E75" w:rsidP="00704C80">
            <w:pPr>
              <w:spacing w:before="120"/>
              <w:jc w:val="center"/>
              <w:rPr>
                <w:sz w:val="16"/>
                <w:szCs w:val="16"/>
              </w:rPr>
            </w:pPr>
            <w:r>
              <w:rPr>
                <w:sz w:val="16"/>
                <w:szCs w:val="16"/>
              </w:rPr>
              <w:t>2</w:t>
            </w:r>
            <w:r w:rsidRPr="009A1B28">
              <w:rPr>
                <w:sz w:val="16"/>
                <w:szCs w:val="16"/>
              </w:rPr>
              <w:t>0.</w:t>
            </w:r>
          </w:p>
        </w:tc>
        <w:tc>
          <w:tcPr>
            <w:tcW w:w="1134" w:type="dxa"/>
            <w:tcBorders>
              <w:top w:val="single" w:sz="4" w:space="0" w:color="999999"/>
              <w:left w:val="single" w:sz="4" w:space="0" w:color="999999"/>
              <w:bottom w:val="single" w:sz="4" w:space="0" w:color="999999"/>
              <w:right w:val="single" w:sz="4" w:space="0" w:color="999999"/>
            </w:tcBorders>
          </w:tcPr>
          <w:p w14:paraId="7318A42A" w14:textId="77777777" w:rsidR="004A2E75" w:rsidRPr="0060119A" w:rsidRDefault="004A2E75"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135ED08D" w14:textId="77777777" w:rsidR="004A2E75" w:rsidRPr="0060119A" w:rsidRDefault="004A2E75"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37737D47"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6499CE47" w14:textId="77777777" w:rsidR="004A2E75" w:rsidRPr="0060119A" w:rsidRDefault="004A2E75"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7B8B708D" w14:textId="77777777" w:rsidR="004A2E75" w:rsidRPr="0060119A" w:rsidRDefault="004A2E75" w:rsidP="00704C80">
            <w:pPr>
              <w:spacing w:before="120"/>
              <w:jc w:val="right"/>
              <w:rPr>
                <w:sz w:val="18"/>
                <w:szCs w:val="18"/>
              </w:rPr>
            </w:pPr>
          </w:p>
        </w:tc>
      </w:tr>
      <w:tr w:rsidR="00165760" w:rsidRPr="0060119A" w14:paraId="302ABB09" w14:textId="77777777" w:rsidTr="004A2E75">
        <w:tc>
          <w:tcPr>
            <w:tcW w:w="426" w:type="dxa"/>
            <w:tcBorders>
              <w:top w:val="single" w:sz="4" w:space="0" w:color="999999"/>
              <w:left w:val="single" w:sz="4" w:space="0" w:color="999999"/>
              <w:bottom w:val="single" w:sz="4" w:space="0" w:color="999999"/>
              <w:right w:val="single" w:sz="4" w:space="0" w:color="999999"/>
            </w:tcBorders>
          </w:tcPr>
          <w:p w14:paraId="20019287" w14:textId="40873F7C" w:rsidR="00165760" w:rsidRDefault="00165760" w:rsidP="00704C80">
            <w:pPr>
              <w:spacing w:before="120"/>
              <w:jc w:val="center"/>
              <w:rPr>
                <w:sz w:val="16"/>
                <w:szCs w:val="16"/>
              </w:rPr>
            </w:pPr>
            <w:r>
              <w:rPr>
                <w:sz w:val="16"/>
                <w:szCs w:val="16"/>
              </w:rPr>
              <w:t>21.</w:t>
            </w:r>
          </w:p>
        </w:tc>
        <w:tc>
          <w:tcPr>
            <w:tcW w:w="1134" w:type="dxa"/>
            <w:tcBorders>
              <w:top w:val="single" w:sz="4" w:space="0" w:color="999999"/>
              <w:left w:val="single" w:sz="4" w:space="0" w:color="999999"/>
              <w:bottom w:val="single" w:sz="4" w:space="0" w:color="999999"/>
              <w:right w:val="single" w:sz="4" w:space="0" w:color="999999"/>
            </w:tcBorders>
          </w:tcPr>
          <w:p w14:paraId="775F08C6" w14:textId="77777777" w:rsidR="00165760" w:rsidRPr="0060119A" w:rsidRDefault="00165760"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13E09BED" w14:textId="77777777" w:rsidR="00165760" w:rsidRPr="0060119A" w:rsidRDefault="00165760"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2ACAA0A6" w14:textId="77777777" w:rsidR="00165760" w:rsidRPr="0060119A" w:rsidRDefault="00165760"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3A81DA12" w14:textId="77777777" w:rsidR="00165760" w:rsidRPr="0060119A" w:rsidRDefault="00165760"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2297AF3F" w14:textId="77777777" w:rsidR="00165760" w:rsidRPr="0060119A" w:rsidRDefault="00165760" w:rsidP="00704C80">
            <w:pPr>
              <w:spacing w:before="120"/>
              <w:jc w:val="right"/>
              <w:rPr>
                <w:sz w:val="18"/>
                <w:szCs w:val="18"/>
              </w:rPr>
            </w:pPr>
          </w:p>
        </w:tc>
      </w:tr>
      <w:tr w:rsidR="00165760" w:rsidRPr="0060119A" w14:paraId="0E57B8F4" w14:textId="77777777" w:rsidTr="004A2E75">
        <w:tc>
          <w:tcPr>
            <w:tcW w:w="426" w:type="dxa"/>
            <w:tcBorders>
              <w:top w:val="single" w:sz="4" w:space="0" w:color="999999"/>
              <w:left w:val="single" w:sz="4" w:space="0" w:color="999999"/>
              <w:bottom w:val="single" w:sz="4" w:space="0" w:color="999999"/>
              <w:right w:val="single" w:sz="4" w:space="0" w:color="999999"/>
            </w:tcBorders>
          </w:tcPr>
          <w:p w14:paraId="4A6F9898" w14:textId="0175F4FD" w:rsidR="00165760" w:rsidRDefault="00165760" w:rsidP="00704C80">
            <w:pPr>
              <w:spacing w:before="120"/>
              <w:jc w:val="center"/>
              <w:rPr>
                <w:sz w:val="16"/>
                <w:szCs w:val="16"/>
              </w:rPr>
            </w:pPr>
            <w:r>
              <w:rPr>
                <w:sz w:val="16"/>
                <w:szCs w:val="16"/>
              </w:rPr>
              <w:t>22.</w:t>
            </w:r>
          </w:p>
        </w:tc>
        <w:tc>
          <w:tcPr>
            <w:tcW w:w="1134" w:type="dxa"/>
            <w:tcBorders>
              <w:top w:val="single" w:sz="4" w:space="0" w:color="999999"/>
              <w:left w:val="single" w:sz="4" w:space="0" w:color="999999"/>
              <w:bottom w:val="single" w:sz="4" w:space="0" w:color="999999"/>
              <w:right w:val="single" w:sz="4" w:space="0" w:color="999999"/>
            </w:tcBorders>
          </w:tcPr>
          <w:p w14:paraId="363DD1B7" w14:textId="77777777" w:rsidR="00165760" w:rsidRPr="0060119A" w:rsidRDefault="00165760"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7CA332CB" w14:textId="77777777" w:rsidR="00165760" w:rsidRPr="0060119A" w:rsidRDefault="00165760"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1BE0835E" w14:textId="77777777" w:rsidR="00165760" w:rsidRPr="0060119A" w:rsidRDefault="00165760"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0F1C7D1A" w14:textId="77777777" w:rsidR="00165760" w:rsidRPr="0060119A" w:rsidRDefault="00165760"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52F7FAA7" w14:textId="77777777" w:rsidR="00165760" w:rsidRPr="0060119A" w:rsidRDefault="00165760" w:rsidP="00704C80">
            <w:pPr>
              <w:spacing w:before="120"/>
              <w:jc w:val="right"/>
              <w:rPr>
                <w:sz w:val="18"/>
                <w:szCs w:val="18"/>
              </w:rPr>
            </w:pPr>
          </w:p>
        </w:tc>
      </w:tr>
      <w:tr w:rsidR="00165760" w:rsidRPr="0060119A" w14:paraId="14C00570" w14:textId="77777777" w:rsidTr="004A2E75">
        <w:tc>
          <w:tcPr>
            <w:tcW w:w="426" w:type="dxa"/>
            <w:tcBorders>
              <w:top w:val="single" w:sz="4" w:space="0" w:color="999999"/>
              <w:left w:val="single" w:sz="4" w:space="0" w:color="999999"/>
              <w:bottom w:val="single" w:sz="4" w:space="0" w:color="999999"/>
              <w:right w:val="single" w:sz="4" w:space="0" w:color="999999"/>
            </w:tcBorders>
          </w:tcPr>
          <w:p w14:paraId="56BEEDA2" w14:textId="5DB6DE84" w:rsidR="00165760" w:rsidRDefault="00165760" w:rsidP="00704C80">
            <w:pPr>
              <w:spacing w:before="120"/>
              <w:jc w:val="center"/>
              <w:rPr>
                <w:sz w:val="16"/>
                <w:szCs w:val="16"/>
              </w:rPr>
            </w:pPr>
            <w:r>
              <w:rPr>
                <w:sz w:val="16"/>
                <w:szCs w:val="16"/>
              </w:rPr>
              <w:t>23.</w:t>
            </w:r>
          </w:p>
        </w:tc>
        <w:tc>
          <w:tcPr>
            <w:tcW w:w="1134" w:type="dxa"/>
            <w:tcBorders>
              <w:top w:val="single" w:sz="4" w:space="0" w:color="999999"/>
              <w:left w:val="single" w:sz="4" w:space="0" w:color="999999"/>
              <w:bottom w:val="single" w:sz="4" w:space="0" w:color="999999"/>
              <w:right w:val="single" w:sz="4" w:space="0" w:color="999999"/>
            </w:tcBorders>
          </w:tcPr>
          <w:p w14:paraId="75AF472D" w14:textId="77777777" w:rsidR="00165760" w:rsidRPr="0060119A" w:rsidRDefault="00165760"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604A75B1" w14:textId="77777777" w:rsidR="00165760" w:rsidRPr="0060119A" w:rsidRDefault="00165760"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2391FA51" w14:textId="77777777" w:rsidR="00165760" w:rsidRPr="0060119A" w:rsidRDefault="00165760"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323CC84C" w14:textId="77777777" w:rsidR="00165760" w:rsidRPr="0060119A" w:rsidRDefault="00165760"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60DCE167" w14:textId="77777777" w:rsidR="00165760" w:rsidRPr="0060119A" w:rsidRDefault="00165760" w:rsidP="00704C80">
            <w:pPr>
              <w:spacing w:before="120"/>
              <w:jc w:val="right"/>
              <w:rPr>
                <w:sz w:val="18"/>
                <w:szCs w:val="18"/>
              </w:rPr>
            </w:pPr>
          </w:p>
        </w:tc>
      </w:tr>
      <w:tr w:rsidR="00165760" w:rsidRPr="0060119A" w14:paraId="4C5A00B9" w14:textId="77777777" w:rsidTr="004A2E75">
        <w:tc>
          <w:tcPr>
            <w:tcW w:w="426" w:type="dxa"/>
            <w:tcBorders>
              <w:top w:val="single" w:sz="4" w:space="0" w:color="999999"/>
              <w:left w:val="single" w:sz="4" w:space="0" w:color="999999"/>
              <w:bottom w:val="single" w:sz="4" w:space="0" w:color="999999"/>
              <w:right w:val="single" w:sz="4" w:space="0" w:color="999999"/>
            </w:tcBorders>
          </w:tcPr>
          <w:p w14:paraId="03509DEA" w14:textId="7D9831CE" w:rsidR="00165760" w:rsidRDefault="00165760" w:rsidP="00704C80">
            <w:pPr>
              <w:spacing w:before="120"/>
              <w:jc w:val="center"/>
              <w:rPr>
                <w:sz w:val="16"/>
                <w:szCs w:val="16"/>
              </w:rPr>
            </w:pPr>
            <w:r>
              <w:rPr>
                <w:sz w:val="16"/>
                <w:szCs w:val="16"/>
              </w:rPr>
              <w:t>24.</w:t>
            </w:r>
          </w:p>
        </w:tc>
        <w:tc>
          <w:tcPr>
            <w:tcW w:w="1134" w:type="dxa"/>
            <w:tcBorders>
              <w:top w:val="single" w:sz="4" w:space="0" w:color="999999"/>
              <w:left w:val="single" w:sz="4" w:space="0" w:color="999999"/>
              <w:bottom w:val="single" w:sz="4" w:space="0" w:color="999999"/>
              <w:right w:val="single" w:sz="4" w:space="0" w:color="999999"/>
            </w:tcBorders>
          </w:tcPr>
          <w:p w14:paraId="46C6C757" w14:textId="77777777" w:rsidR="00165760" w:rsidRPr="0060119A" w:rsidRDefault="00165760"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52DA2A53" w14:textId="77777777" w:rsidR="00165760" w:rsidRPr="0060119A" w:rsidRDefault="00165760"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16969B34" w14:textId="77777777" w:rsidR="00165760" w:rsidRPr="0060119A" w:rsidRDefault="00165760"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2ACCE6B2" w14:textId="77777777" w:rsidR="00165760" w:rsidRPr="0060119A" w:rsidRDefault="00165760"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11BAF51C" w14:textId="77777777" w:rsidR="00165760" w:rsidRPr="0060119A" w:rsidRDefault="00165760" w:rsidP="00704C80">
            <w:pPr>
              <w:spacing w:before="120"/>
              <w:jc w:val="right"/>
              <w:rPr>
                <w:sz w:val="18"/>
                <w:szCs w:val="18"/>
              </w:rPr>
            </w:pPr>
          </w:p>
        </w:tc>
      </w:tr>
      <w:tr w:rsidR="00165760" w:rsidRPr="0060119A" w14:paraId="541D88B9" w14:textId="77777777" w:rsidTr="004A2E75">
        <w:tc>
          <w:tcPr>
            <w:tcW w:w="426" w:type="dxa"/>
            <w:tcBorders>
              <w:top w:val="single" w:sz="4" w:space="0" w:color="999999"/>
              <w:left w:val="single" w:sz="4" w:space="0" w:color="999999"/>
              <w:bottom w:val="single" w:sz="4" w:space="0" w:color="999999"/>
              <w:right w:val="single" w:sz="4" w:space="0" w:color="999999"/>
            </w:tcBorders>
          </w:tcPr>
          <w:p w14:paraId="16BA6AF4" w14:textId="352CCB4A" w:rsidR="00165760" w:rsidRDefault="00165760" w:rsidP="00704C80">
            <w:pPr>
              <w:spacing w:before="120"/>
              <w:jc w:val="center"/>
              <w:rPr>
                <w:sz w:val="16"/>
                <w:szCs w:val="16"/>
              </w:rPr>
            </w:pPr>
            <w:r>
              <w:rPr>
                <w:sz w:val="16"/>
                <w:szCs w:val="16"/>
              </w:rPr>
              <w:t>25.</w:t>
            </w:r>
          </w:p>
        </w:tc>
        <w:tc>
          <w:tcPr>
            <w:tcW w:w="1134" w:type="dxa"/>
            <w:tcBorders>
              <w:top w:val="single" w:sz="4" w:space="0" w:color="999999"/>
              <w:left w:val="single" w:sz="4" w:space="0" w:color="999999"/>
              <w:bottom w:val="single" w:sz="4" w:space="0" w:color="999999"/>
              <w:right w:val="single" w:sz="4" w:space="0" w:color="999999"/>
            </w:tcBorders>
          </w:tcPr>
          <w:p w14:paraId="08A5E165" w14:textId="77777777" w:rsidR="00165760" w:rsidRPr="0060119A" w:rsidRDefault="00165760" w:rsidP="00704C80">
            <w:pPr>
              <w:spacing w:before="120"/>
              <w:jc w:val="center"/>
              <w:rPr>
                <w:sz w:val="18"/>
                <w:szCs w:val="18"/>
              </w:rPr>
            </w:pPr>
          </w:p>
        </w:tc>
        <w:tc>
          <w:tcPr>
            <w:tcW w:w="2835" w:type="dxa"/>
            <w:tcBorders>
              <w:top w:val="single" w:sz="4" w:space="0" w:color="999999"/>
              <w:left w:val="single" w:sz="4" w:space="0" w:color="999999"/>
              <w:bottom w:val="single" w:sz="4" w:space="0" w:color="999999"/>
              <w:right w:val="single" w:sz="4" w:space="0" w:color="999999"/>
            </w:tcBorders>
          </w:tcPr>
          <w:p w14:paraId="5EC48F7E" w14:textId="77777777" w:rsidR="00165760" w:rsidRPr="0060119A" w:rsidRDefault="00165760" w:rsidP="00704C80">
            <w:pPr>
              <w:spacing w:before="120"/>
              <w:jc w:val="center"/>
              <w:rPr>
                <w:sz w:val="18"/>
                <w:szCs w:val="18"/>
              </w:rPr>
            </w:pPr>
          </w:p>
        </w:tc>
        <w:tc>
          <w:tcPr>
            <w:tcW w:w="2409" w:type="dxa"/>
            <w:tcBorders>
              <w:top w:val="single" w:sz="4" w:space="0" w:color="999999"/>
              <w:left w:val="single" w:sz="4" w:space="0" w:color="999999"/>
              <w:bottom w:val="single" w:sz="4" w:space="0" w:color="999999"/>
              <w:right w:val="single" w:sz="4" w:space="0" w:color="999999"/>
            </w:tcBorders>
          </w:tcPr>
          <w:p w14:paraId="35C1D0A1" w14:textId="77777777" w:rsidR="00165760" w:rsidRPr="0060119A" w:rsidRDefault="00165760"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676D93FE" w14:textId="77777777" w:rsidR="00165760" w:rsidRPr="0060119A" w:rsidRDefault="00165760" w:rsidP="00704C80">
            <w:pPr>
              <w:spacing w:before="120"/>
              <w:rPr>
                <w:sz w:val="18"/>
                <w:szCs w:val="18"/>
              </w:rPr>
            </w:pPr>
          </w:p>
        </w:tc>
        <w:tc>
          <w:tcPr>
            <w:tcW w:w="2268" w:type="dxa"/>
            <w:tcBorders>
              <w:top w:val="single" w:sz="4" w:space="0" w:color="999999"/>
              <w:left w:val="single" w:sz="4" w:space="0" w:color="999999"/>
              <w:bottom w:val="single" w:sz="4" w:space="0" w:color="999999"/>
              <w:right w:val="single" w:sz="4" w:space="0" w:color="999999"/>
            </w:tcBorders>
          </w:tcPr>
          <w:p w14:paraId="71D35980" w14:textId="77777777" w:rsidR="00165760" w:rsidRPr="0060119A" w:rsidRDefault="00165760" w:rsidP="00704C80">
            <w:pPr>
              <w:spacing w:before="120"/>
              <w:jc w:val="right"/>
              <w:rPr>
                <w:sz w:val="18"/>
                <w:szCs w:val="18"/>
              </w:rPr>
            </w:pPr>
          </w:p>
        </w:tc>
      </w:tr>
      <w:tr w:rsidR="004A2E75" w:rsidRPr="0060119A" w14:paraId="33103BDE" w14:textId="77777777" w:rsidTr="004A2E75">
        <w:tc>
          <w:tcPr>
            <w:tcW w:w="6804" w:type="dxa"/>
            <w:gridSpan w:val="4"/>
            <w:tcBorders>
              <w:top w:val="single" w:sz="4" w:space="0" w:color="999999"/>
              <w:left w:val="nil"/>
              <w:bottom w:val="nil"/>
              <w:right w:val="single" w:sz="4" w:space="0" w:color="999999"/>
            </w:tcBorders>
          </w:tcPr>
          <w:p w14:paraId="09017ADE" w14:textId="77777777" w:rsidR="004A2E75" w:rsidRPr="0060119A" w:rsidRDefault="004A2E75" w:rsidP="00704C80">
            <w:pPr>
              <w:spacing w:before="120"/>
              <w:rPr>
                <w:sz w:val="18"/>
                <w:szCs w:val="18"/>
              </w:rPr>
            </w:pPr>
          </w:p>
        </w:tc>
        <w:tc>
          <w:tcPr>
            <w:tcW w:w="1985" w:type="dxa"/>
            <w:tcBorders>
              <w:top w:val="single" w:sz="4" w:space="0" w:color="999999"/>
              <w:left w:val="single" w:sz="4" w:space="0" w:color="999999"/>
              <w:bottom w:val="single" w:sz="4" w:space="0" w:color="999999"/>
              <w:right w:val="single" w:sz="4" w:space="0" w:color="999999"/>
            </w:tcBorders>
          </w:tcPr>
          <w:p w14:paraId="18D35C09" w14:textId="2CE04DC1" w:rsidR="004A2E75" w:rsidRPr="0060119A" w:rsidRDefault="004A2E75" w:rsidP="004A2E75">
            <w:pPr>
              <w:spacing w:before="120"/>
              <w:ind w:left="-111"/>
              <w:jc w:val="right"/>
              <w:rPr>
                <w:sz w:val="18"/>
                <w:szCs w:val="18"/>
              </w:rPr>
            </w:pPr>
            <w:r>
              <w:rPr>
                <w:sz w:val="18"/>
                <w:szCs w:val="18"/>
              </w:rPr>
              <w:t>B - Subtotale righe 11-</w:t>
            </w:r>
            <w:r w:rsidR="00165760">
              <w:rPr>
                <w:sz w:val="18"/>
                <w:szCs w:val="18"/>
              </w:rPr>
              <w:t>25</w:t>
            </w:r>
          </w:p>
        </w:tc>
        <w:tc>
          <w:tcPr>
            <w:tcW w:w="2268" w:type="dxa"/>
            <w:tcBorders>
              <w:top w:val="single" w:sz="4" w:space="0" w:color="999999"/>
              <w:left w:val="single" w:sz="4" w:space="0" w:color="999999"/>
              <w:bottom w:val="single" w:sz="4" w:space="0" w:color="999999"/>
              <w:right w:val="single" w:sz="4" w:space="0" w:color="999999"/>
            </w:tcBorders>
          </w:tcPr>
          <w:p w14:paraId="7F7E8062" w14:textId="77777777" w:rsidR="004A2E75" w:rsidRPr="0060119A" w:rsidRDefault="004A2E75" w:rsidP="00704C80">
            <w:pPr>
              <w:spacing w:before="120"/>
              <w:jc w:val="center"/>
              <w:rPr>
                <w:sz w:val="18"/>
                <w:szCs w:val="18"/>
              </w:rPr>
            </w:pPr>
          </w:p>
        </w:tc>
      </w:tr>
    </w:tbl>
    <w:p w14:paraId="35437B37" w14:textId="77777777" w:rsidR="004A2E75" w:rsidRDefault="004A2E75" w:rsidP="004A2E75">
      <w:pPr>
        <w:jc w:val="center"/>
      </w:pPr>
    </w:p>
    <w:p w14:paraId="70BDDBFF" w14:textId="77777777" w:rsidR="00155D5D" w:rsidRDefault="00155D5D" w:rsidP="004A2E75">
      <w:pPr>
        <w:jc w:val="cente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0631"/>
      </w:tblGrid>
      <w:tr w:rsidR="00155D5D" w:rsidRPr="0060119A" w14:paraId="28C9ACD6" w14:textId="77777777" w:rsidTr="00985EF3">
        <w:tc>
          <w:tcPr>
            <w:tcW w:w="11057" w:type="dxa"/>
            <w:gridSpan w:val="2"/>
            <w:tcBorders>
              <w:top w:val="single" w:sz="4" w:space="0" w:color="999999"/>
              <w:left w:val="single" w:sz="4" w:space="0" w:color="999999"/>
              <w:bottom w:val="single" w:sz="4" w:space="0" w:color="999999"/>
              <w:right w:val="single" w:sz="4" w:space="0" w:color="999999"/>
            </w:tcBorders>
            <w:vAlign w:val="center"/>
          </w:tcPr>
          <w:p w14:paraId="596C3F6A" w14:textId="77777777" w:rsidR="00155D5D" w:rsidRPr="0060119A" w:rsidRDefault="00155D5D" w:rsidP="00985EF3">
            <w:pPr>
              <w:spacing w:before="120"/>
              <w:rPr>
                <w:sz w:val="18"/>
                <w:szCs w:val="18"/>
              </w:rPr>
            </w:pPr>
            <w:r>
              <w:rPr>
                <w:sz w:val="18"/>
                <w:szCs w:val="18"/>
              </w:rPr>
              <w:t>Breve descrizione degli investimenti elencati in tabella</w:t>
            </w:r>
          </w:p>
        </w:tc>
      </w:tr>
      <w:tr w:rsidR="00155D5D" w:rsidRPr="0060119A" w14:paraId="7A9E44D5" w14:textId="77777777" w:rsidTr="00985EF3">
        <w:tc>
          <w:tcPr>
            <w:tcW w:w="426" w:type="dxa"/>
            <w:tcBorders>
              <w:top w:val="single" w:sz="4" w:space="0" w:color="999999"/>
              <w:left w:val="single" w:sz="4" w:space="0" w:color="999999"/>
              <w:bottom w:val="single" w:sz="4" w:space="0" w:color="999999"/>
              <w:right w:val="single" w:sz="4" w:space="0" w:color="999999"/>
            </w:tcBorders>
            <w:vAlign w:val="center"/>
          </w:tcPr>
          <w:p w14:paraId="5BF853B9" w14:textId="77777777" w:rsidR="00155D5D" w:rsidRPr="009A1B28" w:rsidRDefault="00155D5D" w:rsidP="00985EF3">
            <w:pPr>
              <w:spacing w:before="120"/>
              <w:jc w:val="center"/>
              <w:rPr>
                <w:sz w:val="16"/>
                <w:szCs w:val="16"/>
              </w:rPr>
            </w:pPr>
            <w:r w:rsidRPr="009A1B28">
              <w:rPr>
                <w:sz w:val="16"/>
                <w:szCs w:val="16"/>
              </w:rPr>
              <w:t>1</w:t>
            </w:r>
            <w:r>
              <w:rPr>
                <w:sz w:val="16"/>
                <w:szCs w:val="16"/>
              </w:rPr>
              <w:t>1</w:t>
            </w:r>
            <w:r w:rsidRPr="009A1B28">
              <w:rPr>
                <w:sz w:val="16"/>
                <w:szCs w:val="16"/>
              </w:rPr>
              <w:t>.</w:t>
            </w:r>
          </w:p>
        </w:tc>
        <w:tc>
          <w:tcPr>
            <w:tcW w:w="10631" w:type="dxa"/>
            <w:tcBorders>
              <w:top w:val="single" w:sz="4" w:space="0" w:color="999999"/>
              <w:left w:val="single" w:sz="4" w:space="0" w:color="999999"/>
              <w:bottom w:val="single" w:sz="4" w:space="0" w:color="999999"/>
              <w:right w:val="single" w:sz="4" w:space="0" w:color="999999"/>
            </w:tcBorders>
            <w:vAlign w:val="center"/>
          </w:tcPr>
          <w:p w14:paraId="60B0D312" w14:textId="77777777" w:rsidR="00155D5D" w:rsidRPr="0060119A" w:rsidRDefault="00155D5D" w:rsidP="00985EF3">
            <w:pPr>
              <w:spacing w:before="120"/>
              <w:rPr>
                <w:sz w:val="18"/>
                <w:szCs w:val="18"/>
              </w:rPr>
            </w:pPr>
          </w:p>
        </w:tc>
      </w:tr>
      <w:tr w:rsidR="00155D5D" w:rsidRPr="0060119A" w14:paraId="38D2E39C" w14:textId="77777777" w:rsidTr="00985EF3">
        <w:tc>
          <w:tcPr>
            <w:tcW w:w="426" w:type="dxa"/>
            <w:tcBorders>
              <w:top w:val="single" w:sz="4" w:space="0" w:color="999999"/>
              <w:left w:val="single" w:sz="4" w:space="0" w:color="999999"/>
              <w:bottom w:val="single" w:sz="4" w:space="0" w:color="999999"/>
              <w:right w:val="single" w:sz="4" w:space="0" w:color="999999"/>
            </w:tcBorders>
          </w:tcPr>
          <w:p w14:paraId="24C3A3C7" w14:textId="77777777" w:rsidR="00155D5D" w:rsidRPr="009A1B28" w:rsidRDefault="00155D5D" w:rsidP="00985EF3">
            <w:pPr>
              <w:spacing w:before="120"/>
              <w:jc w:val="center"/>
              <w:rPr>
                <w:sz w:val="16"/>
                <w:szCs w:val="16"/>
              </w:rPr>
            </w:pPr>
            <w:r>
              <w:rPr>
                <w:sz w:val="16"/>
                <w:szCs w:val="16"/>
              </w:rPr>
              <w:t>12</w:t>
            </w:r>
            <w:r w:rsidRPr="009A1B28">
              <w:rPr>
                <w:sz w:val="16"/>
                <w:szCs w:val="16"/>
              </w:rPr>
              <w:t>.</w:t>
            </w:r>
          </w:p>
        </w:tc>
        <w:tc>
          <w:tcPr>
            <w:tcW w:w="10631" w:type="dxa"/>
            <w:tcBorders>
              <w:top w:val="single" w:sz="4" w:space="0" w:color="999999"/>
              <w:left w:val="single" w:sz="4" w:space="0" w:color="999999"/>
              <w:right w:val="single" w:sz="4" w:space="0" w:color="999999"/>
            </w:tcBorders>
          </w:tcPr>
          <w:p w14:paraId="006EE1A3" w14:textId="77777777" w:rsidR="00155D5D" w:rsidRPr="0060119A" w:rsidRDefault="00155D5D" w:rsidP="00985EF3">
            <w:pPr>
              <w:spacing w:before="120"/>
              <w:rPr>
                <w:sz w:val="18"/>
                <w:szCs w:val="18"/>
              </w:rPr>
            </w:pPr>
          </w:p>
        </w:tc>
      </w:tr>
      <w:tr w:rsidR="00155D5D" w:rsidRPr="0060119A" w14:paraId="3AA5644A" w14:textId="77777777" w:rsidTr="00985EF3">
        <w:tc>
          <w:tcPr>
            <w:tcW w:w="426" w:type="dxa"/>
            <w:tcBorders>
              <w:top w:val="single" w:sz="4" w:space="0" w:color="999999"/>
              <w:left w:val="single" w:sz="4" w:space="0" w:color="999999"/>
              <w:bottom w:val="single" w:sz="4" w:space="0" w:color="999999"/>
              <w:right w:val="single" w:sz="4" w:space="0" w:color="999999"/>
            </w:tcBorders>
          </w:tcPr>
          <w:p w14:paraId="0D72B6C3" w14:textId="77777777" w:rsidR="00155D5D" w:rsidRPr="009A1B28" w:rsidRDefault="00155D5D" w:rsidP="00985EF3">
            <w:pPr>
              <w:spacing w:before="120"/>
              <w:jc w:val="center"/>
              <w:rPr>
                <w:sz w:val="16"/>
                <w:szCs w:val="16"/>
              </w:rPr>
            </w:pPr>
            <w:r>
              <w:rPr>
                <w:sz w:val="16"/>
                <w:szCs w:val="16"/>
              </w:rPr>
              <w:t>1</w:t>
            </w:r>
            <w:r w:rsidRPr="009A1B28">
              <w:rPr>
                <w:sz w:val="16"/>
                <w:szCs w:val="16"/>
              </w:rPr>
              <w:t>3.</w:t>
            </w:r>
          </w:p>
        </w:tc>
        <w:tc>
          <w:tcPr>
            <w:tcW w:w="10631" w:type="dxa"/>
            <w:tcBorders>
              <w:left w:val="single" w:sz="4" w:space="0" w:color="999999"/>
              <w:right w:val="single" w:sz="4" w:space="0" w:color="999999"/>
            </w:tcBorders>
          </w:tcPr>
          <w:p w14:paraId="04DA02AD" w14:textId="77777777" w:rsidR="00155D5D" w:rsidRPr="0060119A" w:rsidRDefault="00155D5D" w:rsidP="00985EF3">
            <w:pPr>
              <w:spacing w:before="120"/>
              <w:rPr>
                <w:sz w:val="18"/>
                <w:szCs w:val="18"/>
              </w:rPr>
            </w:pPr>
          </w:p>
        </w:tc>
      </w:tr>
      <w:tr w:rsidR="00155D5D" w:rsidRPr="0060119A" w14:paraId="37078257" w14:textId="77777777" w:rsidTr="00985EF3">
        <w:tc>
          <w:tcPr>
            <w:tcW w:w="426" w:type="dxa"/>
            <w:tcBorders>
              <w:top w:val="single" w:sz="4" w:space="0" w:color="999999"/>
              <w:left w:val="single" w:sz="4" w:space="0" w:color="999999"/>
              <w:bottom w:val="single" w:sz="4" w:space="0" w:color="999999"/>
              <w:right w:val="single" w:sz="4" w:space="0" w:color="999999"/>
            </w:tcBorders>
          </w:tcPr>
          <w:p w14:paraId="7605429F" w14:textId="77777777" w:rsidR="00155D5D" w:rsidRPr="009A1B28" w:rsidRDefault="00155D5D" w:rsidP="00985EF3">
            <w:pPr>
              <w:spacing w:before="120"/>
              <w:jc w:val="center"/>
              <w:rPr>
                <w:sz w:val="16"/>
                <w:szCs w:val="16"/>
              </w:rPr>
            </w:pPr>
            <w:r>
              <w:rPr>
                <w:sz w:val="16"/>
                <w:szCs w:val="16"/>
              </w:rPr>
              <w:t>1</w:t>
            </w:r>
            <w:r w:rsidRPr="009A1B28">
              <w:rPr>
                <w:sz w:val="16"/>
                <w:szCs w:val="16"/>
              </w:rPr>
              <w:t>4.</w:t>
            </w:r>
          </w:p>
        </w:tc>
        <w:tc>
          <w:tcPr>
            <w:tcW w:w="10631" w:type="dxa"/>
            <w:tcBorders>
              <w:left w:val="single" w:sz="4" w:space="0" w:color="999999"/>
              <w:right w:val="single" w:sz="4" w:space="0" w:color="999999"/>
            </w:tcBorders>
          </w:tcPr>
          <w:p w14:paraId="42D9C280" w14:textId="77777777" w:rsidR="00155D5D" w:rsidRPr="0060119A" w:rsidRDefault="00155D5D" w:rsidP="00985EF3">
            <w:pPr>
              <w:spacing w:before="120"/>
              <w:rPr>
                <w:sz w:val="18"/>
                <w:szCs w:val="18"/>
              </w:rPr>
            </w:pPr>
          </w:p>
        </w:tc>
      </w:tr>
      <w:tr w:rsidR="00155D5D" w:rsidRPr="0060119A" w14:paraId="48DBBF4D" w14:textId="77777777" w:rsidTr="00985EF3">
        <w:tc>
          <w:tcPr>
            <w:tcW w:w="426" w:type="dxa"/>
            <w:tcBorders>
              <w:top w:val="single" w:sz="4" w:space="0" w:color="999999"/>
              <w:left w:val="single" w:sz="4" w:space="0" w:color="999999"/>
              <w:bottom w:val="single" w:sz="4" w:space="0" w:color="999999"/>
              <w:right w:val="single" w:sz="4" w:space="0" w:color="999999"/>
            </w:tcBorders>
          </w:tcPr>
          <w:p w14:paraId="36201547" w14:textId="77777777" w:rsidR="00155D5D" w:rsidRPr="009A1B28" w:rsidRDefault="00155D5D" w:rsidP="00985EF3">
            <w:pPr>
              <w:spacing w:before="120"/>
              <w:jc w:val="center"/>
              <w:rPr>
                <w:sz w:val="16"/>
                <w:szCs w:val="16"/>
              </w:rPr>
            </w:pPr>
            <w:r>
              <w:rPr>
                <w:sz w:val="16"/>
                <w:szCs w:val="16"/>
              </w:rPr>
              <w:t>1</w:t>
            </w:r>
            <w:r w:rsidRPr="009A1B28">
              <w:rPr>
                <w:sz w:val="16"/>
                <w:szCs w:val="16"/>
              </w:rPr>
              <w:t>5.</w:t>
            </w:r>
          </w:p>
        </w:tc>
        <w:tc>
          <w:tcPr>
            <w:tcW w:w="10631" w:type="dxa"/>
            <w:tcBorders>
              <w:left w:val="single" w:sz="4" w:space="0" w:color="999999"/>
              <w:right w:val="single" w:sz="4" w:space="0" w:color="999999"/>
            </w:tcBorders>
          </w:tcPr>
          <w:p w14:paraId="07DD1E30" w14:textId="77777777" w:rsidR="00155D5D" w:rsidRPr="0060119A" w:rsidRDefault="00155D5D" w:rsidP="00985EF3">
            <w:pPr>
              <w:spacing w:before="120"/>
              <w:rPr>
                <w:sz w:val="18"/>
                <w:szCs w:val="18"/>
              </w:rPr>
            </w:pPr>
          </w:p>
        </w:tc>
      </w:tr>
      <w:tr w:rsidR="00155D5D" w:rsidRPr="0060119A" w14:paraId="30A872BE" w14:textId="77777777" w:rsidTr="00985EF3">
        <w:tc>
          <w:tcPr>
            <w:tcW w:w="426" w:type="dxa"/>
            <w:tcBorders>
              <w:top w:val="single" w:sz="4" w:space="0" w:color="999999"/>
              <w:left w:val="single" w:sz="4" w:space="0" w:color="999999"/>
              <w:bottom w:val="single" w:sz="4" w:space="0" w:color="999999"/>
              <w:right w:val="single" w:sz="4" w:space="0" w:color="999999"/>
            </w:tcBorders>
          </w:tcPr>
          <w:p w14:paraId="3146B8BA" w14:textId="77777777" w:rsidR="00155D5D" w:rsidRPr="009A1B28" w:rsidRDefault="00155D5D" w:rsidP="00985EF3">
            <w:pPr>
              <w:spacing w:before="120"/>
              <w:jc w:val="center"/>
              <w:rPr>
                <w:sz w:val="16"/>
                <w:szCs w:val="16"/>
              </w:rPr>
            </w:pPr>
            <w:r>
              <w:rPr>
                <w:sz w:val="16"/>
                <w:szCs w:val="16"/>
              </w:rPr>
              <w:t>1</w:t>
            </w:r>
            <w:r w:rsidRPr="009A1B28">
              <w:rPr>
                <w:sz w:val="16"/>
                <w:szCs w:val="16"/>
              </w:rPr>
              <w:t>6.</w:t>
            </w:r>
          </w:p>
        </w:tc>
        <w:tc>
          <w:tcPr>
            <w:tcW w:w="10631" w:type="dxa"/>
            <w:tcBorders>
              <w:left w:val="single" w:sz="4" w:space="0" w:color="999999"/>
              <w:right w:val="single" w:sz="4" w:space="0" w:color="999999"/>
            </w:tcBorders>
          </w:tcPr>
          <w:p w14:paraId="0129838D" w14:textId="77777777" w:rsidR="00155D5D" w:rsidRPr="0060119A" w:rsidRDefault="00155D5D" w:rsidP="00985EF3">
            <w:pPr>
              <w:spacing w:before="120"/>
              <w:rPr>
                <w:sz w:val="18"/>
                <w:szCs w:val="18"/>
              </w:rPr>
            </w:pPr>
          </w:p>
        </w:tc>
      </w:tr>
      <w:tr w:rsidR="00155D5D" w:rsidRPr="0060119A" w14:paraId="3DE2DD58" w14:textId="77777777" w:rsidTr="00985EF3">
        <w:tc>
          <w:tcPr>
            <w:tcW w:w="426" w:type="dxa"/>
            <w:tcBorders>
              <w:top w:val="single" w:sz="4" w:space="0" w:color="999999"/>
              <w:left w:val="single" w:sz="4" w:space="0" w:color="999999"/>
              <w:bottom w:val="single" w:sz="4" w:space="0" w:color="999999"/>
              <w:right w:val="single" w:sz="4" w:space="0" w:color="999999"/>
            </w:tcBorders>
          </w:tcPr>
          <w:p w14:paraId="4946B78B" w14:textId="77777777" w:rsidR="00155D5D" w:rsidRPr="009A1B28" w:rsidRDefault="00155D5D" w:rsidP="00985EF3">
            <w:pPr>
              <w:spacing w:before="120"/>
              <w:jc w:val="center"/>
              <w:rPr>
                <w:sz w:val="16"/>
                <w:szCs w:val="16"/>
              </w:rPr>
            </w:pPr>
            <w:r>
              <w:rPr>
                <w:sz w:val="16"/>
                <w:szCs w:val="16"/>
              </w:rPr>
              <w:t>17</w:t>
            </w:r>
            <w:r w:rsidRPr="009A1B28">
              <w:rPr>
                <w:sz w:val="16"/>
                <w:szCs w:val="16"/>
              </w:rPr>
              <w:t>.</w:t>
            </w:r>
          </w:p>
        </w:tc>
        <w:tc>
          <w:tcPr>
            <w:tcW w:w="10631" w:type="dxa"/>
            <w:tcBorders>
              <w:left w:val="single" w:sz="4" w:space="0" w:color="999999"/>
              <w:right w:val="single" w:sz="4" w:space="0" w:color="999999"/>
            </w:tcBorders>
          </w:tcPr>
          <w:p w14:paraId="38FC30A4" w14:textId="77777777" w:rsidR="00155D5D" w:rsidRPr="0060119A" w:rsidRDefault="00155D5D" w:rsidP="00985EF3">
            <w:pPr>
              <w:spacing w:before="120"/>
              <w:rPr>
                <w:sz w:val="18"/>
                <w:szCs w:val="18"/>
              </w:rPr>
            </w:pPr>
          </w:p>
        </w:tc>
      </w:tr>
      <w:tr w:rsidR="00155D5D" w:rsidRPr="0060119A" w14:paraId="487BD67D" w14:textId="77777777" w:rsidTr="00985EF3">
        <w:tc>
          <w:tcPr>
            <w:tcW w:w="426" w:type="dxa"/>
            <w:tcBorders>
              <w:top w:val="single" w:sz="4" w:space="0" w:color="999999"/>
              <w:left w:val="single" w:sz="4" w:space="0" w:color="999999"/>
              <w:bottom w:val="single" w:sz="4" w:space="0" w:color="999999"/>
              <w:right w:val="single" w:sz="4" w:space="0" w:color="999999"/>
            </w:tcBorders>
          </w:tcPr>
          <w:p w14:paraId="435243AC" w14:textId="77777777" w:rsidR="00155D5D" w:rsidRPr="009A1B28" w:rsidRDefault="00155D5D" w:rsidP="00985EF3">
            <w:pPr>
              <w:spacing w:before="120"/>
              <w:jc w:val="center"/>
              <w:rPr>
                <w:sz w:val="16"/>
                <w:szCs w:val="16"/>
              </w:rPr>
            </w:pPr>
            <w:r>
              <w:rPr>
                <w:sz w:val="16"/>
                <w:szCs w:val="16"/>
              </w:rPr>
              <w:t>1</w:t>
            </w:r>
            <w:r w:rsidRPr="009A1B28">
              <w:rPr>
                <w:sz w:val="16"/>
                <w:szCs w:val="16"/>
              </w:rPr>
              <w:t>8.</w:t>
            </w:r>
          </w:p>
        </w:tc>
        <w:tc>
          <w:tcPr>
            <w:tcW w:w="10631" w:type="dxa"/>
            <w:tcBorders>
              <w:left w:val="single" w:sz="4" w:space="0" w:color="999999"/>
              <w:right w:val="single" w:sz="4" w:space="0" w:color="999999"/>
            </w:tcBorders>
          </w:tcPr>
          <w:p w14:paraId="45FAFAFF" w14:textId="77777777" w:rsidR="00155D5D" w:rsidRPr="0060119A" w:rsidRDefault="00155D5D" w:rsidP="00985EF3">
            <w:pPr>
              <w:spacing w:before="120"/>
              <w:rPr>
                <w:sz w:val="18"/>
                <w:szCs w:val="18"/>
              </w:rPr>
            </w:pPr>
          </w:p>
        </w:tc>
      </w:tr>
      <w:tr w:rsidR="00155D5D" w:rsidRPr="0060119A" w14:paraId="5C63D78A" w14:textId="77777777" w:rsidTr="00985EF3">
        <w:tc>
          <w:tcPr>
            <w:tcW w:w="426" w:type="dxa"/>
            <w:tcBorders>
              <w:top w:val="single" w:sz="4" w:space="0" w:color="999999"/>
              <w:left w:val="single" w:sz="4" w:space="0" w:color="999999"/>
              <w:bottom w:val="single" w:sz="4" w:space="0" w:color="999999"/>
              <w:right w:val="single" w:sz="4" w:space="0" w:color="999999"/>
            </w:tcBorders>
          </w:tcPr>
          <w:p w14:paraId="51E048AF" w14:textId="77777777" w:rsidR="00155D5D" w:rsidRPr="009A1B28" w:rsidRDefault="00155D5D" w:rsidP="00985EF3">
            <w:pPr>
              <w:spacing w:before="120"/>
              <w:jc w:val="center"/>
              <w:rPr>
                <w:sz w:val="16"/>
                <w:szCs w:val="16"/>
              </w:rPr>
            </w:pPr>
            <w:r>
              <w:rPr>
                <w:sz w:val="16"/>
                <w:szCs w:val="16"/>
              </w:rPr>
              <w:t>1</w:t>
            </w:r>
            <w:r w:rsidRPr="009A1B28">
              <w:rPr>
                <w:sz w:val="16"/>
                <w:szCs w:val="16"/>
              </w:rPr>
              <w:t>9.</w:t>
            </w:r>
          </w:p>
        </w:tc>
        <w:tc>
          <w:tcPr>
            <w:tcW w:w="10631" w:type="dxa"/>
            <w:tcBorders>
              <w:left w:val="single" w:sz="4" w:space="0" w:color="999999"/>
              <w:right w:val="single" w:sz="4" w:space="0" w:color="999999"/>
            </w:tcBorders>
          </w:tcPr>
          <w:p w14:paraId="24514229" w14:textId="77777777" w:rsidR="00155D5D" w:rsidRPr="0060119A" w:rsidRDefault="00155D5D" w:rsidP="00985EF3">
            <w:pPr>
              <w:spacing w:before="120"/>
              <w:rPr>
                <w:sz w:val="18"/>
                <w:szCs w:val="18"/>
              </w:rPr>
            </w:pPr>
          </w:p>
        </w:tc>
      </w:tr>
      <w:tr w:rsidR="00155D5D" w:rsidRPr="0060119A" w14:paraId="5C592D98" w14:textId="77777777" w:rsidTr="00985EF3">
        <w:tc>
          <w:tcPr>
            <w:tcW w:w="426" w:type="dxa"/>
            <w:tcBorders>
              <w:top w:val="single" w:sz="4" w:space="0" w:color="999999"/>
              <w:left w:val="single" w:sz="4" w:space="0" w:color="999999"/>
              <w:bottom w:val="single" w:sz="4" w:space="0" w:color="999999"/>
              <w:right w:val="single" w:sz="4" w:space="0" w:color="999999"/>
            </w:tcBorders>
          </w:tcPr>
          <w:p w14:paraId="7D50AF42" w14:textId="77777777" w:rsidR="00155D5D" w:rsidRPr="009A1B28" w:rsidRDefault="00155D5D" w:rsidP="00985EF3">
            <w:pPr>
              <w:spacing w:before="120"/>
              <w:jc w:val="center"/>
              <w:rPr>
                <w:sz w:val="16"/>
                <w:szCs w:val="16"/>
              </w:rPr>
            </w:pPr>
            <w:r>
              <w:rPr>
                <w:sz w:val="16"/>
                <w:szCs w:val="16"/>
              </w:rPr>
              <w:t>2</w:t>
            </w:r>
            <w:r w:rsidRPr="009A1B28">
              <w:rPr>
                <w:sz w:val="16"/>
                <w:szCs w:val="16"/>
              </w:rPr>
              <w:t>0.</w:t>
            </w:r>
          </w:p>
        </w:tc>
        <w:tc>
          <w:tcPr>
            <w:tcW w:w="10631" w:type="dxa"/>
            <w:tcBorders>
              <w:left w:val="single" w:sz="4" w:space="0" w:color="999999"/>
              <w:right w:val="single" w:sz="4" w:space="0" w:color="999999"/>
            </w:tcBorders>
          </w:tcPr>
          <w:p w14:paraId="1B6066EC" w14:textId="77777777" w:rsidR="00155D5D" w:rsidRPr="0060119A" w:rsidRDefault="00155D5D" w:rsidP="00985EF3">
            <w:pPr>
              <w:spacing w:before="120"/>
              <w:rPr>
                <w:sz w:val="18"/>
                <w:szCs w:val="18"/>
              </w:rPr>
            </w:pPr>
          </w:p>
        </w:tc>
      </w:tr>
      <w:tr w:rsidR="00155D5D" w:rsidRPr="0060119A" w14:paraId="7F0B2E95" w14:textId="77777777" w:rsidTr="00985EF3">
        <w:tc>
          <w:tcPr>
            <w:tcW w:w="426" w:type="dxa"/>
            <w:tcBorders>
              <w:top w:val="single" w:sz="4" w:space="0" w:color="999999"/>
              <w:left w:val="single" w:sz="4" w:space="0" w:color="999999"/>
              <w:bottom w:val="single" w:sz="4" w:space="0" w:color="999999"/>
              <w:right w:val="single" w:sz="4" w:space="0" w:color="999999"/>
            </w:tcBorders>
          </w:tcPr>
          <w:p w14:paraId="64371375" w14:textId="77777777" w:rsidR="00155D5D" w:rsidRDefault="00155D5D" w:rsidP="00985EF3">
            <w:pPr>
              <w:spacing w:before="120"/>
              <w:jc w:val="center"/>
              <w:rPr>
                <w:sz w:val="16"/>
                <w:szCs w:val="16"/>
              </w:rPr>
            </w:pPr>
            <w:r>
              <w:rPr>
                <w:sz w:val="16"/>
                <w:szCs w:val="16"/>
              </w:rPr>
              <w:t>21.</w:t>
            </w:r>
          </w:p>
        </w:tc>
        <w:tc>
          <w:tcPr>
            <w:tcW w:w="10631" w:type="dxa"/>
            <w:tcBorders>
              <w:left w:val="single" w:sz="4" w:space="0" w:color="999999"/>
              <w:right w:val="single" w:sz="4" w:space="0" w:color="999999"/>
            </w:tcBorders>
          </w:tcPr>
          <w:p w14:paraId="2FF25748" w14:textId="77777777" w:rsidR="00155D5D" w:rsidRPr="0060119A" w:rsidRDefault="00155D5D" w:rsidP="00985EF3">
            <w:pPr>
              <w:spacing w:before="120"/>
              <w:rPr>
                <w:sz w:val="18"/>
                <w:szCs w:val="18"/>
              </w:rPr>
            </w:pPr>
          </w:p>
        </w:tc>
      </w:tr>
      <w:tr w:rsidR="00155D5D" w:rsidRPr="0060119A" w14:paraId="2883F21F" w14:textId="77777777" w:rsidTr="00985EF3">
        <w:tc>
          <w:tcPr>
            <w:tcW w:w="426" w:type="dxa"/>
            <w:tcBorders>
              <w:top w:val="single" w:sz="4" w:space="0" w:color="999999"/>
              <w:left w:val="single" w:sz="4" w:space="0" w:color="999999"/>
              <w:bottom w:val="single" w:sz="4" w:space="0" w:color="999999"/>
              <w:right w:val="single" w:sz="4" w:space="0" w:color="999999"/>
            </w:tcBorders>
          </w:tcPr>
          <w:p w14:paraId="6B070AA1" w14:textId="77777777" w:rsidR="00155D5D" w:rsidRDefault="00155D5D" w:rsidP="00985EF3">
            <w:pPr>
              <w:spacing w:before="120"/>
              <w:jc w:val="center"/>
              <w:rPr>
                <w:sz w:val="16"/>
                <w:szCs w:val="16"/>
              </w:rPr>
            </w:pPr>
            <w:r>
              <w:rPr>
                <w:sz w:val="16"/>
                <w:szCs w:val="16"/>
              </w:rPr>
              <w:t>22.</w:t>
            </w:r>
          </w:p>
        </w:tc>
        <w:tc>
          <w:tcPr>
            <w:tcW w:w="10631" w:type="dxa"/>
            <w:tcBorders>
              <w:left w:val="single" w:sz="4" w:space="0" w:color="999999"/>
              <w:right w:val="single" w:sz="4" w:space="0" w:color="999999"/>
            </w:tcBorders>
          </w:tcPr>
          <w:p w14:paraId="082FB01D" w14:textId="77777777" w:rsidR="00155D5D" w:rsidRPr="0060119A" w:rsidRDefault="00155D5D" w:rsidP="00985EF3">
            <w:pPr>
              <w:spacing w:before="120"/>
              <w:rPr>
                <w:sz w:val="18"/>
                <w:szCs w:val="18"/>
              </w:rPr>
            </w:pPr>
          </w:p>
        </w:tc>
      </w:tr>
      <w:tr w:rsidR="00155D5D" w:rsidRPr="0060119A" w14:paraId="64C324E4" w14:textId="77777777" w:rsidTr="00985EF3">
        <w:tc>
          <w:tcPr>
            <w:tcW w:w="426" w:type="dxa"/>
            <w:tcBorders>
              <w:top w:val="single" w:sz="4" w:space="0" w:color="999999"/>
              <w:left w:val="single" w:sz="4" w:space="0" w:color="999999"/>
              <w:bottom w:val="single" w:sz="4" w:space="0" w:color="999999"/>
              <w:right w:val="single" w:sz="4" w:space="0" w:color="999999"/>
            </w:tcBorders>
          </w:tcPr>
          <w:p w14:paraId="68EC61D5" w14:textId="77777777" w:rsidR="00155D5D" w:rsidRDefault="00155D5D" w:rsidP="00985EF3">
            <w:pPr>
              <w:spacing w:before="120"/>
              <w:jc w:val="center"/>
              <w:rPr>
                <w:sz w:val="16"/>
                <w:szCs w:val="16"/>
              </w:rPr>
            </w:pPr>
            <w:r>
              <w:rPr>
                <w:sz w:val="16"/>
                <w:szCs w:val="16"/>
              </w:rPr>
              <w:t>23.</w:t>
            </w:r>
          </w:p>
        </w:tc>
        <w:tc>
          <w:tcPr>
            <w:tcW w:w="10631" w:type="dxa"/>
            <w:tcBorders>
              <w:left w:val="single" w:sz="4" w:space="0" w:color="999999"/>
              <w:right w:val="single" w:sz="4" w:space="0" w:color="999999"/>
            </w:tcBorders>
          </w:tcPr>
          <w:p w14:paraId="4F7208A9" w14:textId="77777777" w:rsidR="00155D5D" w:rsidRPr="0060119A" w:rsidRDefault="00155D5D" w:rsidP="00985EF3">
            <w:pPr>
              <w:spacing w:before="120"/>
              <w:rPr>
                <w:sz w:val="18"/>
                <w:szCs w:val="18"/>
              </w:rPr>
            </w:pPr>
          </w:p>
        </w:tc>
      </w:tr>
      <w:tr w:rsidR="00155D5D" w:rsidRPr="0060119A" w14:paraId="38550027" w14:textId="77777777" w:rsidTr="00985EF3">
        <w:tc>
          <w:tcPr>
            <w:tcW w:w="426" w:type="dxa"/>
            <w:tcBorders>
              <w:top w:val="single" w:sz="4" w:space="0" w:color="999999"/>
              <w:left w:val="single" w:sz="4" w:space="0" w:color="999999"/>
              <w:bottom w:val="single" w:sz="4" w:space="0" w:color="999999"/>
              <w:right w:val="single" w:sz="4" w:space="0" w:color="999999"/>
            </w:tcBorders>
          </w:tcPr>
          <w:p w14:paraId="2D6B3571" w14:textId="77777777" w:rsidR="00155D5D" w:rsidRDefault="00155D5D" w:rsidP="00985EF3">
            <w:pPr>
              <w:spacing w:before="120"/>
              <w:jc w:val="center"/>
              <w:rPr>
                <w:sz w:val="16"/>
                <w:szCs w:val="16"/>
              </w:rPr>
            </w:pPr>
            <w:r>
              <w:rPr>
                <w:sz w:val="16"/>
                <w:szCs w:val="16"/>
              </w:rPr>
              <w:t>24.</w:t>
            </w:r>
          </w:p>
        </w:tc>
        <w:tc>
          <w:tcPr>
            <w:tcW w:w="10631" w:type="dxa"/>
            <w:tcBorders>
              <w:left w:val="single" w:sz="4" w:space="0" w:color="999999"/>
              <w:right w:val="single" w:sz="4" w:space="0" w:color="999999"/>
            </w:tcBorders>
          </w:tcPr>
          <w:p w14:paraId="04EDF823" w14:textId="77777777" w:rsidR="00155D5D" w:rsidRPr="0060119A" w:rsidRDefault="00155D5D" w:rsidP="00985EF3">
            <w:pPr>
              <w:spacing w:before="120"/>
              <w:rPr>
                <w:sz w:val="18"/>
                <w:szCs w:val="18"/>
              </w:rPr>
            </w:pPr>
          </w:p>
        </w:tc>
      </w:tr>
      <w:tr w:rsidR="00155D5D" w:rsidRPr="0060119A" w14:paraId="583DBB63" w14:textId="77777777" w:rsidTr="00985EF3">
        <w:tc>
          <w:tcPr>
            <w:tcW w:w="426" w:type="dxa"/>
            <w:tcBorders>
              <w:top w:val="single" w:sz="4" w:space="0" w:color="999999"/>
              <w:left w:val="single" w:sz="4" w:space="0" w:color="999999"/>
              <w:bottom w:val="single" w:sz="4" w:space="0" w:color="999999"/>
              <w:right w:val="single" w:sz="4" w:space="0" w:color="999999"/>
            </w:tcBorders>
          </w:tcPr>
          <w:p w14:paraId="2FF39CCE" w14:textId="77777777" w:rsidR="00155D5D" w:rsidRDefault="00155D5D" w:rsidP="00985EF3">
            <w:pPr>
              <w:spacing w:before="120"/>
              <w:jc w:val="center"/>
              <w:rPr>
                <w:sz w:val="16"/>
                <w:szCs w:val="16"/>
              </w:rPr>
            </w:pPr>
            <w:r>
              <w:rPr>
                <w:sz w:val="16"/>
                <w:szCs w:val="16"/>
              </w:rPr>
              <w:t>25.</w:t>
            </w:r>
          </w:p>
        </w:tc>
        <w:tc>
          <w:tcPr>
            <w:tcW w:w="10631" w:type="dxa"/>
            <w:tcBorders>
              <w:left w:val="single" w:sz="4" w:space="0" w:color="999999"/>
              <w:bottom w:val="single" w:sz="4" w:space="0" w:color="999999"/>
              <w:right w:val="single" w:sz="4" w:space="0" w:color="999999"/>
            </w:tcBorders>
          </w:tcPr>
          <w:p w14:paraId="2FD34D00" w14:textId="77777777" w:rsidR="00155D5D" w:rsidRPr="0060119A" w:rsidRDefault="00155D5D" w:rsidP="00985EF3">
            <w:pPr>
              <w:spacing w:before="120"/>
              <w:rPr>
                <w:sz w:val="18"/>
                <w:szCs w:val="18"/>
              </w:rPr>
            </w:pPr>
          </w:p>
        </w:tc>
      </w:tr>
    </w:tbl>
    <w:p w14:paraId="16809304" w14:textId="77777777" w:rsidR="00155D5D" w:rsidRDefault="00155D5D" w:rsidP="004A2E75">
      <w:pPr>
        <w:jc w:val="center"/>
      </w:pPr>
    </w:p>
    <w:sectPr w:rsidR="00155D5D" w:rsidSect="007E15EC">
      <w:headerReference w:type="default" r:id="rId8"/>
      <w:footerReference w:type="default" r:id="rId9"/>
      <w:headerReference w:type="first" r:id="rId10"/>
      <w:footerReference w:type="first" r:id="rId11"/>
      <w:pgSz w:w="11906" w:h="16838"/>
      <w:pgMar w:top="851" w:right="1134" w:bottom="709" w:left="1134" w:header="708" w:footer="1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BC6D" w14:textId="77777777" w:rsidR="00576D1F" w:rsidRDefault="00576D1F" w:rsidP="004A2E75">
      <w:r>
        <w:separator/>
      </w:r>
    </w:p>
  </w:endnote>
  <w:endnote w:type="continuationSeparator" w:id="0">
    <w:p w14:paraId="3D2E0E1B" w14:textId="77777777" w:rsidR="00576D1F" w:rsidRDefault="00576D1F" w:rsidP="004A2E75">
      <w:r>
        <w:continuationSeparator/>
      </w:r>
    </w:p>
  </w:endnote>
  <w:endnote w:id="1">
    <w:p w14:paraId="10D58EB1" w14:textId="21DBFB9C" w:rsidR="004A2E75" w:rsidRPr="00A64A0D" w:rsidRDefault="004A2E75" w:rsidP="004A2E75">
      <w:pPr>
        <w:pStyle w:val="Testonotaapidipagina"/>
        <w:spacing w:before="60"/>
        <w:rPr>
          <w:i/>
          <w:iCs/>
          <w:sz w:val="16"/>
          <w:szCs w:val="16"/>
        </w:rPr>
      </w:pPr>
      <w:r w:rsidRPr="00A64A0D">
        <w:rPr>
          <w:i/>
          <w:iCs/>
          <w:sz w:val="16"/>
          <w:szCs w:val="16"/>
        </w:rPr>
        <w:endnoteRef/>
      </w:r>
      <w:r w:rsidRPr="00A64A0D">
        <w:rPr>
          <w:i/>
          <w:iCs/>
          <w:sz w:val="16"/>
          <w:szCs w:val="16"/>
        </w:rPr>
        <w:t xml:space="preserve"> Indicare il codice della categoria corrispondente (</w:t>
      </w:r>
      <w:proofErr w:type="spellStart"/>
      <w:r w:rsidRPr="00A64A0D">
        <w:rPr>
          <w:i/>
          <w:iCs/>
          <w:sz w:val="16"/>
          <w:szCs w:val="16"/>
        </w:rPr>
        <w:t>rif.</w:t>
      </w:r>
      <w:proofErr w:type="spellEnd"/>
      <w:r w:rsidRPr="00A64A0D">
        <w:rPr>
          <w:i/>
          <w:iCs/>
          <w:sz w:val="16"/>
          <w:szCs w:val="16"/>
        </w:rPr>
        <w:t xml:space="preserve"> </w:t>
      </w:r>
      <w:r w:rsidR="00587F89" w:rsidRPr="00A64A0D">
        <w:rPr>
          <w:i/>
          <w:iCs/>
          <w:sz w:val="16"/>
          <w:szCs w:val="16"/>
        </w:rPr>
        <w:t>DGR n 1476 del 12 dicembre 2024 – Allegato A</w:t>
      </w:r>
      <w:r w:rsidRPr="00A64A0D">
        <w:rPr>
          <w:i/>
          <w:iCs/>
          <w:sz w:val="16"/>
          <w:szCs w:val="16"/>
        </w:rPr>
        <w:t>):</w:t>
      </w:r>
    </w:p>
    <w:p w14:paraId="2B3399EA" w14:textId="74B3ABF6" w:rsidR="00A64A0D" w:rsidRPr="00A64A0D" w:rsidRDefault="00A64A0D" w:rsidP="00A64A0D">
      <w:pPr>
        <w:pStyle w:val="Testonotaapidipagina"/>
        <w:spacing w:before="60"/>
        <w:rPr>
          <w:i/>
          <w:iCs/>
          <w:sz w:val="16"/>
          <w:szCs w:val="16"/>
        </w:rPr>
      </w:pPr>
      <w:r w:rsidRPr="00A64A0D">
        <w:rPr>
          <w:i/>
          <w:iCs/>
          <w:sz w:val="16"/>
          <w:szCs w:val="16"/>
        </w:rPr>
        <w:endnoteRef/>
      </w:r>
      <w:r>
        <w:rPr>
          <w:i/>
          <w:iCs/>
          <w:sz w:val="16"/>
          <w:szCs w:val="16"/>
        </w:rPr>
        <w:t>i</w:t>
      </w:r>
      <w:r w:rsidRPr="00A64A0D">
        <w:rPr>
          <w:i/>
          <w:iCs/>
          <w:sz w:val="16"/>
          <w:szCs w:val="16"/>
        </w:rPr>
        <w:t xml:space="preserve"> </w:t>
      </w:r>
      <w:proofErr w:type="spellStart"/>
      <w:r w:rsidRPr="00A64A0D">
        <w:rPr>
          <w:i/>
          <w:iCs/>
          <w:sz w:val="16"/>
          <w:szCs w:val="16"/>
        </w:rPr>
        <w:t>I</w:t>
      </w:r>
      <w:proofErr w:type="spellEnd"/>
      <w:r w:rsidRPr="00A64A0D">
        <w:rPr>
          <w:i/>
          <w:iCs/>
          <w:sz w:val="16"/>
          <w:szCs w:val="16"/>
        </w:rPr>
        <w:t xml:space="preserve"> preventivi di spesa elencati dovranno essere recenti, ritenendo tali quelli datati non oltre sei mesi dalla data della domanda di ammissione alle agevolazioni (data di avvenuto caricamento dell’istanza, completa di tutti gli allegati obbligatori, nel portale del Gestore).</w:t>
      </w:r>
    </w:p>
    <w:p w14:paraId="6BCFC403" w14:textId="4EC7D585" w:rsidR="004A2E75" w:rsidRPr="00A64A0D" w:rsidRDefault="00A64A0D" w:rsidP="00A64A0D">
      <w:pPr>
        <w:pStyle w:val="Testonotaapidipagina"/>
        <w:spacing w:before="60"/>
        <w:rPr>
          <w:i/>
          <w:sz w:val="12"/>
          <w:szCs w:val="12"/>
        </w:rPr>
      </w:pPr>
      <w:r w:rsidRPr="00A64A0D">
        <w:rPr>
          <w:i/>
          <w:sz w:val="16"/>
          <w:szCs w:val="16"/>
        </w:rPr>
        <w:endnoteRef/>
      </w:r>
      <w:r>
        <w:rPr>
          <w:i/>
          <w:sz w:val="12"/>
          <w:szCs w:val="12"/>
        </w:rPr>
        <w:t>ii</w:t>
      </w:r>
      <w:r w:rsidRPr="00A64A0D">
        <w:rPr>
          <w:i/>
          <w:sz w:val="12"/>
          <w:szCs w:val="12"/>
        </w:rPr>
        <w:t xml:space="preserve"> </w:t>
      </w:r>
      <w:r w:rsidRPr="00A64A0D">
        <w:rPr>
          <w:i/>
          <w:sz w:val="16"/>
          <w:szCs w:val="16"/>
        </w:rPr>
        <w:t>Non sono ammissibili ad agevolazione le spese per singoli beni/servizi di importo unitario inferiore ad euro 200,00 (duecento/00) al netto dell’IVA.</w:t>
      </w:r>
    </w:p>
    <w:p w14:paraId="3D220654" w14:textId="77777777" w:rsidR="00A64A0D" w:rsidRDefault="00A64A0D" w:rsidP="00A64A0D">
      <w:pPr>
        <w:pStyle w:val="Testonotaapidipagina"/>
        <w:spacing w:before="60"/>
        <w:rPr>
          <w:sz w:val="16"/>
          <w:szCs w:val="16"/>
        </w:rPr>
      </w:pPr>
    </w:p>
    <w:p w14:paraId="3F1E9969" w14:textId="77777777" w:rsidR="007E15EC" w:rsidRDefault="007E15EC" w:rsidP="00A64A0D">
      <w:pPr>
        <w:pStyle w:val="Testonotaapidipagina"/>
        <w:spacing w:before="60"/>
        <w:rPr>
          <w:sz w:val="16"/>
          <w:szCs w:val="16"/>
        </w:rPr>
      </w:pPr>
    </w:p>
    <w:tbl>
      <w:tblPr>
        <w:tblW w:w="530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1"/>
        <w:gridCol w:w="1699"/>
        <w:gridCol w:w="7658"/>
      </w:tblGrid>
      <w:tr w:rsidR="00587F89" w:rsidRPr="00040A6D" w14:paraId="06D135B5" w14:textId="77777777" w:rsidTr="00B86683">
        <w:trPr>
          <w:trHeight w:val="76"/>
        </w:trPr>
        <w:tc>
          <w:tcPr>
            <w:tcW w:w="417" w:type="pct"/>
            <w:vAlign w:val="center"/>
          </w:tcPr>
          <w:p w14:paraId="1796F7C6" w14:textId="77777777" w:rsidR="00587F89" w:rsidRPr="00040A6D" w:rsidRDefault="00587F89" w:rsidP="00587F89">
            <w:pPr>
              <w:pStyle w:val="TableParagraph"/>
              <w:spacing w:before="60" w:after="60"/>
              <w:ind w:right="-135"/>
              <w:jc w:val="center"/>
              <w:rPr>
                <w:rFonts w:eastAsia="Calibri"/>
                <w:b/>
                <w:sz w:val="16"/>
                <w:szCs w:val="16"/>
              </w:rPr>
            </w:pPr>
            <w:r w:rsidRPr="00040A6D">
              <w:rPr>
                <w:rFonts w:eastAsia="Calibri"/>
                <w:b/>
                <w:sz w:val="16"/>
                <w:szCs w:val="16"/>
              </w:rPr>
              <w:t>Categoria</w:t>
            </w:r>
          </w:p>
        </w:tc>
        <w:tc>
          <w:tcPr>
            <w:tcW w:w="4583" w:type="pct"/>
            <w:gridSpan w:val="2"/>
            <w:vAlign w:val="center"/>
          </w:tcPr>
          <w:p w14:paraId="15AC1C95" w14:textId="77777777" w:rsidR="00587F89" w:rsidRPr="00040A6D" w:rsidRDefault="00587F89" w:rsidP="00587F89">
            <w:pPr>
              <w:pStyle w:val="TableParagraph"/>
              <w:spacing w:before="60" w:after="60"/>
              <w:jc w:val="center"/>
              <w:rPr>
                <w:rFonts w:eastAsia="Calibri"/>
                <w:b/>
                <w:sz w:val="16"/>
                <w:szCs w:val="16"/>
              </w:rPr>
            </w:pPr>
            <w:r w:rsidRPr="00040A6D">
              <w:rPr>
                <w:rFonts w:eastAsia="Calibri"/>
                <w:b/>
                <w:w w:val="105"/>
                <w:sz w:val="16"/>
                <w:szCs w:val="16"/>
              </w:rPr>
              <w:t>Tipologie</w:t>
            </w:r>
            <w:r w:rsidRPr="00040A6D">
              <w:rPr>
                <w:rFonts w:eastAsia="Calibri"/>
                <w:b/>
                <w:spacing w:val="-5"/>
                <w:w w:val="105"/>
                <w:sz w:val="16"/>
                <w:szCs w:val="16"/>
              </w:rPr>
              <w:t xml:space="preserve"> </w:t>
            </w:r>
            <w:r w:rsidRPr="00040A6D">
              <w:rPr>
                <w:rFonts w:eastAsia="Calibri"/>
                <w:b/>
                <w:w w:val="105"/>
                <w:sz w:val="16"/>
                <w:szCs w:val="16"/>
              </w:rPr>
              <w:t>di</w:t>
            </w:r>
            <w:r w:rsidRPr="00040A6D">
              <w:rPr>
                <w:rFonts w:eastAsia="Calibri"/>
                <w:b/>
                <w:spacing w:val="-6"/>
                <w:w w:val="105"/>
                <w:sz w:val="16"/>
                <w:szCs w:val="16"/>
              </w:rPr>
              <w:t xml:space="preserve"> </w:t>
            </w:r>
            <w:r w:rsidRPr="00040A6D">
              <w:rPr>
                <w:rFonts w:eastAsia="Calibri"/>
                <w:b/>
                <w:spacing w:val="-2"/>
                <w:w w:val="105"/>
                <w:sz w:val="16"/>
                <w:szCs w:val="16"/>
              </w:rPr>
              <w:t>spesa</w:t>
            </w:r>
          </w:p>
        </w:tc>
      </w:tr>
      <w:tr w:rsidR="00B86683" w:rsidRPr="00040A6D" w14:paraId="2877E0E2" w14:textId="77777777" w:rsidTr="00B86683">
        <w:trPr>
          <w:trHeight w:val="476"/>
        </w:trPr>
        <w:tc>
          <w:tcPr>
            <w:tcW w:w="417" w:type="pct"/>
            <w:vAlign w:val="center"/>
          </w:tcPr>
          <w:p w14:paraId="23060F5D" w14:textId="77777777" w:rsidR="00587F89" w:rsidRPr="00040A6D" w:rsidRDefault="00587F89" w:rsidP="00587F89">
            <w:pPr>
              <w:pStyle w:val="TableParagraph"/>
              <w:spacing w:before="60" w:after="60"/>
              <w:jc w:val="center"/>
              <w:rPr>
                <w:rFonts w:eastAsia="Calibri"/>
                <w:b/>
                <w:sz w:val="16"/>
                <w:szCs w:val="16"/>
              </w:rPr>
            </w:pPr>
            <w:r w:rsidRPr="00040A6D">
              <w:rPr>
                <w:rFonts w:eastAsia="Calibri"/>
                <w:b/>
                <w:sz w:val="16"/>
                <w:szCs w:val="16"/>
              </w:rPr>
              <w:t>A</w:t>
            </w:r>
          </w:p>
        </w:tc>
        <w:tc>
          <w:tcPr>
            <w:tcW w:w="832" w:type="pct"/>
            <w:vAlign w:val="center"/>
          </w:tcPr>
          <w:p w14:paraId="3A881583" w14:textId="77777777" w:rsidR="00587F89" w:rsidRPr="00040A6D" w:rsidRDefault="00587F89" w:rsidP="00587F89">
            <w:pPr>
              <w:pStyle w:val="TableParagraph"/>
              <w:spacing w:before="60" w:after="60"/>
              <w:jc w:val="center"/>
              <w:rPr>
                <w:rFonts w:eastAsia="Calibri"/>
                <w:b/>
                <w:sz w:val="16"/>
                <w:szCs w:val="16"/>
              </w:rPr>
            </w:pPr>
            <w:r>
              <w:rPr>
                <w:rFonts w:eastAsia="Calibri"/>
                <w:b/>
                <w:spacing w:val="-2"/>
                <w:w w:val="105"/>
                <w:sz w:val="16"/>
                <w:szCs w:val="16"/>
              </w:rPr>
              <w:t>M</w:t>
            </w:r>
            <w:r w:rsidRPr="002626D2">
              <w:rPr>
                <w:rFonts w:eastAsia="Calibri"/>
                <w:b/>
                <w:spacing w:val="-2"/>
                <w:w w:val="105"/>
                <w:sz w:val="16"/>
                <w:szCs w:val="16"/>
              </w:rPr>
              <w:t>acchinari,</w:t>
            </w:r>
            <w:r>
              <w:rPr>
                <w:rFonts w:eastAsia="Calibri"/>
                <w:b/>
                <w:spacing w:val="-2"/>
                <w:w w:val="105"/>
                <w:sz w:val="16"/>
                <w:szCs w:val="16"/>
              </w:rPr>
              <w:t xml:space="preserve"> </w:t>
            </w:r>
            <w:r w:rsidRPr="002626D2">
              <w:rPr>
                <w:rFonts w:eastAsia="Calibri"/>
                <w:b/>
                <w:spacing w:val="-2"/>
                <w:w w:val="105"/>
                <w:sz w:val="16"/>
                <w:szCs w:val="16"/>
              </w:rPr>
              <w:t>impianti</w:t>
            </w:r>
            <w:r>
              <w:rPr>
                <w:rFonts w:eastAsia="Calibri"/>
                <w:b/>
                <w:spacing w:val="-2"/>
                <w:w w:val="105"/>
                <w:sz w:val="16"/>
                <w:szCs w:val="16"/>
              </w:rPr>
              <w:t xml:space="preserve"> </w:t>
            </w:r>
            <w:r w:rsidRPr="002626D2">
              <w:rPr>
                <w:rFonts w:eastAsia="Calibri"/>
                <w:b/>
                <w:spacing w:val="-2"/>
                <w:w w:val="105"/>
                <w:sz w:val="16"/>
                <w:szCs w:val="16"/>
              </w:rPr>
              <w:t>produttivi,</w:t>
            </w:r>
            <w:r>
              <w:rPr>
                <w:rFonts w:eastAsia="Calibri"/>
                <w:b/>
                <w:spacing w:val="-2"/>
                <w:w w:val="105"/>
                <w:sz w:val="16"/>
                <w:szCs w:val="16"/>
              </w:rPr>
              <w:t xml:space="preserve"> </w:t>
            </w:r>
            <w:r w:rsidRPr="002626D2">
              <w:rPr>
                <w:rFonts w:eastAsia="Calibri"/>
                <w:b/>
                <w:spacing w:val="-2"/>
                <w:w w:val="105"/>
                <w:sz w:val="16"/>
                <w:szCs w:val="16"/>
              </w:rPr>
              <w:t>hardware,</w:t>
            </w:r>
            <w:r>
              <w:rPr>
                <w:rFonts w:eastAsia="Calibri"/>
                <w:b/>
                <w:spacing w:val="-2"/>
                <w:w w:val="105"/>
                <w:sz w:val="16"/>
                <w:szCs w:val="16"/>
              </w:rPr>
              <w:t xml:space="preserve"> </w:t>
            </w:r>
            <w:r w:rsidRPr="002626D2">
              <w:rPr>
                <w:rFonts w:eastAsia="Calibri"/>
                <w:b/>
                <w:spacing w:val="-2"/>
                <w:w w:val="105"/>
                <w:sz w:val="16"/>
                <w:szCs w:val="16"/>
              </w:rPr>
              <w:t>attrezzature</w:t>
            </w:r>
            <w:r>
              <w:rPr>
                <w:rFonts w:eastAsia="Calibri"/>
                <w:b/>
                <w:spacing w:val="-2"/>
                <w:w w:val="105"/>
                <w:sz w:val="16"/>
                <w:szCs w:val="16"/>
              </w:rPr>
              <w:t xml:space="preserve"> </w:t>
            </w:r>
            <w:r w:rsidRPr="002626D2">
              <w:rPr>
                <w:rFonts w:eastAsia="Calibri"/>
                <w:b/>
                <w:spacing w:val="-2"/>
                <w:w w:val="105"/>
                <w:sz w:val="16"/>
                <w:szCs w:val="16"/>
              </w:rPr>
              <w:t>tecnologiche e</w:t>
            </w:r>
            <w:r>
              <w:rPr>
                <w:rFonts w:eastAsia="Calibri"/>
                <w:b/>
                <w:spacing w:val="-2"/>
                <w:w w:val="105"/>
                <w:sz w:val="16"/>
                <w:szCs w:val="16"/>
              </w:rPr>
              <w:t xml:space="preserve"> </w:t>
            </w:r>
            <w:r w:rsidRPr="002626D2">
              <w:rPr>
                <w:rFonts w:eastAsia="Calibri"/>
                <w:b/>
                <w:spacing w:val="-2"/>
                <w:w w:val="105"/>
                <w:sz w:val="16"/>
                <w:szCs w:val="16"/>
              </w:rPr>
              <w:t>mobili-arredi</w:t>
            </w:r>
          </w:p>
        </w:tc>
        <w:tc>
          <w:tcPr>
            <w:tcW w:w="3751" w:type="pct"/>
            <w:vAlign w:val="center"/>
          </w:tcPr>
          <w:p w14:paraId="11AE1B4F" w14:textId="77777777" w:rsidR="00587F89" w:rsidRPr="002626D2" w:rsidRDefault="00587F89" w:rsidP="00587F89">
            <w:pPr>
              <w:spacing w:before="60" w:after="60"/>
              <w:ind w:left="35"/>
              <w:rPr>
                <w:bCs/>
                <w:sz w:val="16"/>
                <w:szCs w:val="16"/>
              </w:rPr>
            </w:pPr>
            <w:r w:rsidRPr="002626D2">
              <w:rPr>
                <w:bCs/>
                <w:sz w:val="16"/>
                <w:szCs w:val="16"/>
              </w:rPr>
              <w:t>Sono comprese anche le relative spese di trasporto e</w:t>
            </w:r>
            <w:r>
              <w:rPr>
                <w:bCs/>
                <w:sz w:val="16"/>
                <w:szCs w:val="16"/>
              </w:rPr>
              <w:t xml:space="preserve"> </w:t>
            </w:r>
            <w:r w:rsidRPr="002626D2">
              <w:rPr>
                <w:bCs/>
                <w:sz w:val="16"/>
                <w:szCs w:val="16"/>
              </w:rPr>
              <w:t>installazione presso l'unità operativa in cui si realizza</w:t>
            </w:r>
            <w:r>
              <w:rPr>
                <w:bCs/>
                <w:sz w:val="16"/>
                <w:szCs w:val="16"/>
              </w:rPr>
              <w:t xml:space="preserve"> </w:t>
            </w:r>
            <w:r w:rsidRPr="002626D2">
              <w:rPr>
                <w:bCs/>
                <w:sz w:val="16"/>
                <w:szCs w:val="16"/>
              </w:rPr>
              <w:t>il Programma di investimento. Le spese di</w:t>
            </w:r>
            <w:r>
              <w:rPr>
                <w:bCs/>
                <w:sz w:val="16"/>
                <w:szCs w:val="16"/>
              </w:rPr>
              <w:t xml:space="preserve"> </w:t>
            </w:r>
            <w:r w:rsidRPr="002626D2">
              <w:rPr>
                <w:bCs/>
                <w:sz w:val="16"/>
                <w:szCs w:val="16"/>
              </w:rPr>
              <w:t>installazione comprendono anche le opere murarie e</w:t>
            </w:r>
            <w:r>
              <w:rPr>
                <w:bCs/>
                <w:sz w:val="16"/>
                <w:szCs w:val="16"/>
              </w:rPr>
              <w:t xml:space="preserve"> </w:t>
            </w:r>
            <w:r w:rsidRPr="002626D2">
              <w:rPr>
                <w:bCs/>
                <w:sz w:val="16"/>
                <w:szCs w:val="16"/>
              </w:rPr>
              <w:t>gli interventi di impiantistica strettamente necessari al</w:t>
            </w:r>
            <w:r>
              <w:rPr>
                <w:bCs/>
                <w:sz w:val="16"/>
                <w:szCs w:val="16"/>
              </w:rPr>
              <w:t xml:space="preserve"> </w:t>
            </w:r>
            <w:r w:rsidRPr="002626D2">
              <w:rPr>
                <w:bCs/>
                <w:sz w:val="16"/>
                <w:szCs w:val="16"/>
              </w:rPr>
              <w:t>corretto funzionamento dei beni ammissibili a</w:t>
            </w:r>
            <w:r>
              <w:rPr>
                <w:bCs/>
                <w:sz w:val="16"/>
                <w:szCs w:val="16"/>
              </w:rPr>
              <w:t xml:space="preserve"> </w:t>
            </w:r>
            <w:r w:rsidRPr="002626D2">
              <w:rPr>
                <w:bCs/>
                <w:sz w:val="16"/>
                <w:szCs w:val="16"/>
              </w:rPr>
              <w:t>contributo. Le spese relative al software di base,</w:t>
            </w:r>
            <w:r>
              <w:rPr>
                <w:bCs/>
                <w:sz w:val="16"/>
                <w:szCs w:val="16"/>
              </w:rPr>
              <w:t xml:space="preserve"> </w:t>
            </w:r>
            <w:r w:rsidRPr="002626D2">
              <w:rPr>
                <w:bCs/>
                <w:sz w:val="16"/>
                <w:szCs w:val="16"/>
              </w:rPr>
              <w:t>indispensabile al funzionamento di una macchina,</w:t>
            </w:r>
            <w:r>
              <w:rPr>
                <w:bCs/>
                <w:sz w:val="16"/>
                <w:szCs w:val="16"/>
              </w:rPr>
              <w:t xml:space="preserve"> </w:t>
            </w:r>
            <w:r w:rsidRPr="002626D2">
              <w:rPr>
                <w:bCs/>
                <w:sz w:val="16"/>
                <w:szCs w:val="16"/>
              </w:rPr>
              <w:t>concorrono alla spesa relativa alla macchina</w:t>
            </w:r>
            <w:r>
              <w:rPr>
                <w:bCs/>
                <w:sz w:val="16"/>
                <w:szCs w:val="16"/>
              </w:rPr>
              <w:t xml:space="preserve"> </w:t>
            </w:r>
            <w:r w:rsidRPr="002626D2">
              <w:rPr>
                <w:bCs/>
                <w:sz w:val="16"/>
                <w:szCs w:val="16"/>
              </w:rPr>
              <w:t>governata dal software medesimo.</w:t>
            </w:r>
          </w:p>
          <w:p w14:paraId="5F5A5B92" w14:textId="77777777" w:rsidR="00587F89" w:rsidRPr="00B54FF3" w:rsidRDefault="00587F89" w:rsidP="00587F89">
            <w:pPr>
              <w:spacing w:before="60" w:after="60"/>
              <w:ind w:left="35"/>
              <w:rPr>
                <w:bCs/>
                <w:sz w:val="16"/>
                <w:szCs w:val="16"/>
              </w:rPr>
            </w:pPr>
            <w:r w:rsidRPr="002626D2">
              <w:rPr>
                <w:bCs/>
                <w:sz w:val="16"/>
                <w:szCs w:val="16"/>
              </w:rPr>
              <w:t>Non sono ammissibili beni alimentati da combustibili</w:t>
            </w:r>
            <w:r>
              <w:rPr>
                <w:bCs/>
                <w:sz w:val="16"/>
                <w:szCs w:val="16"/>
              </w:rPr>
              <w:t xml:space="preserve"> </w:t>
            </w:r>
            <w:r w:rsidRPr="002626D2">
              <w:rPr>
                <w:bCs/>
                <w:sz w:val="16"/>
                <w:szCs w:val="16"/>
              </w:rPr>
              <w:t>fossili (compreso il gas naturale) ai sensi dell’art.7</w:t>
            </w:r>
            <w:r>
              <w:rPr>
                <w:bCs/>
                <w:sz w:val="16"/>
                <w:szCs w:val="16"/>
              </w:rPr>
              <w:t xml:space="preserve"> </w:t>
            </w:r>
            <w:r w:rsidRPr="002626D2">
              <w:rPr>
                <w:bCs/>
                <w:sz w:val="16"/>
                <w:szCs w:val="16"/>
              </w:rPr>
              <w:t>Regolamento (UE) 1058/2021.</w:t>
            </w:r>
          </w:p>
        </w:tc>
      </w:tr>
      <w:tr w:rsidR="00B86683" w:rsidRPr="00040A6D" w14:paraId="205C8B42" w14:textId="77777777" w:rsidTr="00B86683">
        <w:trPr>
          <w:trHeight w:val="486"/>
        </w:trPr>
        <w:tc>
          <w:tcPr>
            <w:tcW w:w="417" w:type="pct"/>
            <w:vAlign w:val="center"/>
          </w:tcPr>
          <w:p w14:paraId="19FB06B6" w14:textId="77777777" w:rsidR="00587F89" w:rsidRPr="00040A6D" w:rsidRDefault="00587F89" w:rsidP="00587F89">
            <w:pPr>
              <w:pStyle w:val="TableParagraph"/>
              <w:spacing w:before="60" w:after="60"/>
              <w:jc w:val="center"/>
              <w:rPr>
                <w:rFonts w:eastAsia="Calibri"/>
                <w:b/>
                <w:sz w:val="16"/>
                <w:szCs w:val="16"/>
              </w:rPr>
            </w:pPr>
            <w:r w:rsidRPr="00040A6D">
              <w:rPr>
                <w:rFonts w:eastAsia="Calibri"/>
                <w:b/>
                <w:sz w:val="16"/>
                <w:szCs w:val="16"/>
              </w:rPr>
              <w:t>B</w:t>
            </w:r>
          </w:p>
        </w:tc>
        <w:tc>
          <w:tcPr>
            <w:tcW w:w="832" w:type="pct"/>
            <w:vAlign w:val="center"/>
          </w:tcPr>
          <w:p w14:paraId="4E3D27F8" w14:textId="77777777" w:rsidR="00587F89" w:rsidRPr="00040A6D" w:rsidRDefault="00587F89" w:rsidP="00587F89">
            <w:pPr>
              <w:pStyle w:val="TableParagraph"/>
              <w:spacing w:before="60" w:after="60"/>
              <w:jc w:val="center"/>
              <w:rPr>
                <w:rFonts w:eastAsia="Calibri"/>
                <w:b/>
                <w:sz w:val="16"/>
                <w:szCs w:val="16"/>
              </w:rPr>
            </w:pPr>
            <w:r>
              <w:rPr>
                <w:rFonts w:eastAsia="Calibri"/>
                <w:b/>
                <w:spacing w:val="-2"/>
                <w:w w:val="105"/>
                <w:sz w:val="16"/>
                <w:szCs w:val="16"/>
              </w:rPr>
              <w:t>S</w:t>
            </w:r>
            <w:r w:rsidRPr="002626D2">
              <w:rPr>
                <w:rFonts w:eastAsia="Calibri"/>
                <w:b/>
                <w:spacing w:val="-2"/>
                <w:w w:val="105"/>
                <w:sz w:val="16"/>
                <w:szCs w:val="16"/>
              </w:rPr>
              <w:t>oftware e</w:t>
            </w:r>
            <w:r>
              <w:rPr>
                <w:rFonts w:eastAsia="Calibri"/>
                <w:b/>
                <w:spacing w:val="-2"/>
                <w:w w:val="105"/>
                <w:sz w:val="16"/>
                <w:szCs w:val="16"/>
              </w:rPr>
              <w:t xml:space="preserve"> </w:t>
            </w:r>
            <w:r w:rsidRPr="002626D2">
              <w:rPr>
                <w:rFonts w:eastAsia="Calibri"/>
                <w:b/>
                <w:spacing w:val="-2"/>
                <w:w w:val="105"/>
                <w:sz w:val="16"/>
                <w:szCs w:val="16"/>
              </w:rPr>
              <w:t>licenze d’uso</w:t>
            </w:r>
            <w:r>
              <w:rPr>
                <w:rFonts w:eastAsia="Calibri"/>
                <w:b/>
                <w:spacing w:val="-2"/>
                <w:w w:val="105"/>
                <w:sz w:val="16"/>
                <w:szCs w:val="16"/>
              </w:rPr>
              <w:t xml:space="preserve"> </w:t>
            </w:r>
            <w:r w:rsidRPr="002626D2">
              <w:rPr>
                <w:rFonts w:eastAsia="Calibri"/>
                <w:b/>
                <w:spacing w:val="-2"/>
                <w:w w:val="105"/>
                <w:sz w:val="16"/>
                <w:szCs w:val="16"/>
              </w:rPr>
              <w:t>software,</w:t>
            </w:r>
            <w:r>
              <w:rPr>
                <w:rFonts w:eastAsia="Calibri"/>
                <w:b/>
                <w:spacing w:val="-2"/>
                <w:w w:val="105"/>
                <w:sz w:val="16"/>
                <w:szCs w:val="16"/>
              </w:rPr>
              <w:t xml:space="preserve"> </w:t>
            </w:r>
            <w:r w:rsidRPr="002626D2">
              <w:rPr>
                <w:rFonts w:eastAsia="Calibri"/>
                <w:b/>
                <w:spacing w:val="-2"/>
                <w:w w:val="105"/>
                <w:sz w:val="16"/>
                <w:szCs w:val="16"/>
              </w:rPr>
              <w:t>realizzazione</w:t>
            </w:r>
            <w:r>
              <w:rPr>
                <w:rFonts w:eastAsia="Calibri"/>
                <w:b/>
                <w:spacing w:val="-2"/>
                <w:w w:val="105"/>
                <w:sz w:val="16"/>
                <w:szCs w:val="16"/>
              </w:rPr>
              <w:t xml:space="preserve"> </w:t>
            </w:r>
            <w:r w:rsidRPr="002626D2">
              <w:rPr>
                <w:rFonts w:eastAsia="Calibri"/>
                <w:b/>
                <w:spacing w:val="-2"/>
                <w:w w:val="105"/>
                <w:sz w:val="16"/>
                <w:szCs w:val="16"/>
              </w:rPr>
              <w:t>di siti web e</w:t>
            </w:r>
            <w:r>
              <w:rPr>
                <w:rFonts w:eastAsia="Calibri"/>
                <w:b/>
                <w:spacing w:val="-2"/>
                <w:w w:val="105"/>
                <w:sz w:val="16"/>
                <w:szCs w:val="16"/>
              </w:rPr>
              <w:t xml:space="preserve"> </w:t>
            </w:r>
            <w:r w:rsidRPr="002626D2">
              <w:rPr>
                <w:rFonts w:eastAsia="Calibri"/>
                <w:b/>
                <w:spacing w:val="-2"/>
                <w:w w:val="105"/>
                <w:sz w:val="16"/>
                <w:szCs w:val="16"/>
              </w:rPr>
              <w:t>sistemi di e</w:t>
            </w:r>
            <w:r>
              <w:rPr>
                <w:rFonts w:eastAsia="Calibri"/>
                <w:b/>
                <w:spacing w:val="-2"/>
                <w:w w:val="105"/>
                <w:sz w:val="16"/>
                <w:szCs w:val="16"/>
              </w:rPr>
              <w:t>-</w:t>
            </w:r>
            <w:r w:rsidRPr="002626D2">
              <w:rPr>
                <w:rFonts w:eastAsia="Calibri"/>
                <w:b/>
                <w:spacing w:val="-2"/>
                <w:w w:val="105"/>
                <w:sz w:val="16"/>
                <w:szCs w:val="16"/>
              </w:rPr>
              <w:t>commerce</w:t>
            </w:r>
          </w:p>
        </w:tc>
        <w:tc>
          <w:tcPr>
            <w:tcW w:w="3751" w:type="pct"/>
            <w:vAlign w:val="center"/>
          </w:tcPr>
          <w:p w14:paraId="1B33233F" w14:textId="77777777" w:rsidR="00587F89" w:rsidRPr="002626D2" w:rsidRDefault="00587F89" w:rsidP="00587F89">
            <w:pPr>
              <w:spacing w:before="60" w:after="60"/>
              <w:ind w:left="35"/>
              <w:rPr>
                <w:bCs/>
                <w:sz w:val="16"/>
                <w:szCs w:val="16"/>
              </w:rPr>
            </w:pPr>
            <w:r w:rsidRPr="002626D2">
              <w:rPr>
                <w:bCs/>
                <w:sz w:val="16"/>
                <w:szCs w:val="16"/>
              </w:rPr>
              <w:t>Nel caso di acquisto di licenze temporanee, la spesa</w:t>
            </w:r>
            <w:r>
              <w:rPr>
                <w:bCs/>
                <w:sz w:val="16"/>
                <w:szCs w:val="16"/>
              </w:rPr>
              <w:t xml:space="preserve"> </w:t>
            </w:r>
            <w:r w:rsidRPr="002626D2">
              <w:rPr>
                <w:bCs/>
                <w:sz w:val="16"/>
                <w:szCs w:val="16"/>
              </w:rPr>
              <w:t>ammissibile corrisponde agli importi (compresi i</w:t>
            </w:r>
            <w:r>
              <w:rPr>
                <w:bCs/>
                <w:sz w:val="16"/>
                <w:szCs w:val="16"/>
              </w:rPr>
              <w:t xml:space="preserve"> </w:t>
            </w:r>
            <w:r w:rsidRPr="002626D2">
              <w:rPr>
                <w:bCs/>
                <w:sz w:val="16"/>
                <w:szCs w:val="16"/>
              </w:rPr>
              <w:t>canoni di abbonamento) sostenuti e pagati nel periodo</w:t>
            </w:r>
            <w:r>
              <w:rPr>
                <w:bCs/>
                <w:sz w:val="16"/>
                <w:szCs w:val="16"/>
              </w:rPr>
              <w:t xml:space="preserve"> </w:t>
            </w:r>
            <w:r w:rsidRPr="002626D2">
              <w:rPr>
                <w:bCs/>
                <w:sz w:val="16"/>
                <w:szCs w:val="16"/>
              </w:rPr>
              <w:t>compreso tra l</w:t>
            </w:r>
            <w:r w:rsidRPr="002626D2">
              <w:rPr>
                <w:rFonts w:hint="eastAsia"/>
                <w:bCs/>
                <w:sz w:val="16"/>
                <w:szCs w:val="16"/>
              </w:rPr>
              <w:t>’</w:t>
            </w:r>
            <w:r w:rsidRPr="002626D2">
              <w:rPr>
                <w:bCs/>
                <w:sz w:val="16"/>
                <w:szCs w:val="16"/>
              </w:rPr>
              <w:t>avvio dell</w:t>
            </w:r>
            <w:r w:rsidRPr="002626D2">
              <w:rPr>
                <w:rFonts w:hint="eastAsia"/>
                <w:bCs/>
                <w:sz w:val="16"/>
                <w:szCs w:val="16"/>
              </w:rPr>
              <w:t>’</w:t>
            </w:r>
            <w:r w:rsidRPr="002626D2">
              <w:rPr>
                <w:bCs/>
                <w:sz w:val="16"/>
                <w:szCs w:val="16"/>
              </w:rPr>
              <w:t>investimento e il termine</w:t>
            </w:r>
            <w:r>
              <w:rPr>
                <w:bCs/>
                <w:sz w:val="16"/>
                <w:szCs w:val="16"/>
              </w:rPr>
              <w:t xml:space="preserve"> </w:t>
            </w:r>
            <w:r w:rsidRPr="002626D2">
              <w:rPr>
                <w:bCs/>
                <w:sz w:val="16"/>
                <w:szCs w:val="16"/>
              </w:rPr>
              <w:t>del Programma di investimento.</w:t>
            </w:r>
          </w:p>
          <w:p w14:paraId="13DBECAD" w14:textId="77777777" w:rsidR="00587F89" w:rsidRPr="002626D2" w:rsidRDefault="00587F89" w:rsidP="00587F89">
            <w:pPr>
              <w:spacing w:before="60" w:after="60"/>
              <w:ind w:left="35"/>
              <w:rPr>
                <w:bCs/>
                <w:sz w:val="16"/>
                <w:szCs w:val="16"/>
              </w:rPr>
            </w:pPr>
            <w:r w:rsidRPr="002626D2">
              <w:rPr>
                <w:bCs/>
                <w:sz w:val="16"/>
                <w:szCs w:val="16"/>
              </w:rPr>
              <w:t>Non sono ammesse le spese per servizi di assistenza</w:t>
            </w:r>
            <w:r>
              <w:rPr>
                <w:bCs/>
                <w:sz w:val="16"/>
                <w:szCs w:val="16"/>
              </w:rPr>
              <w:t xml:space="preserve"> </w:t>
            </w:r>
            <w:r w:rsidRPr="002626D2">
              <w:rPr>
                <w:bCs/>
                <w:sz w:val="16"/>
                <w:szCs w:val="16"/>
              </w:rPr>
              <w:t>o di mera manutenzione di siti preesistenti.</w:t>
            </w:r>
          </w:p>
          <w:p w14:paraId="77135294" w14:textId="77777777" w:rsidR="00587F89" w:rsidRPr="002626D2" w:rsidRDefault="00587F89" w:rsidP="00587F89">
            <w:pPr>
              <w:spacing w:before="60" w:after="60"/>
              <w:ind w:left="35"/>
              <w:rPr>
                <w:bCs/>
                <w:sz w:val="16"/>
                <w:szCs w:val="16"/>
              </w:rPr>
            </w:pPr>
            <w:r w:rsidRPr="002626D2">
              <w:rPr>
                <w:bCs/>
                <w:sz w:val="16"/>
                <w:szCs w:val="16"/>
              </w:rPr>
              <w:t>Nel caso di rifacimento e rinnovamento di un sito</w:t>
            </w:r>
            <w:r>
              <w:rPr>
                <w:bCs/>
                <w:sz w:val="16"/>
                <w:szCs w:val="16"/>
              </w:rPr>
              <w:t xml:space="preserve"> </w:t>
            </w:r>
            <w:r w:rsidRPr="002626D2">
              <w:rPr>
                <w:bCs/>
                <w:sz w:val="16"/>
                <w:szCs w:val="16"/>
              </w:rPr>
              <w:t>preesistente, in fase di rendicontazione dovrà essere</w:t>
            </w:r>
            <w:r>
              <w:rPr>
                <w:bCs/>
                <w:sz w:val="16"/>
                <w:szCs w:val="16"/>
              </w:rPr>
              <w:t xml:space="preserve"> </w:t>
            </w:r>
            <w:r w:rsidRPr="002626D2">
              <w:rPr>
                <w:bCs/>
                <w:sz w:val="16"/>
                <w:szCs w:val="16"/>
              </w:rPr>
              <w:t>prodotta documentazione grafica dimostrativa delle</w:t>
            </w:r>
            <w:r>
              <w:rPr>
                <w:bCs/>
                <w:sz w:val="16"/>
                <w:szCs w:val="16"/>
              </w:rPr>
              <w:t xml:space="preserve"> </w:t>
            </w:r>
            <w:r w:rsidRPr="002626D2">
              <w:rPr>
                <w:bCs/>
                <w:sz w:val="16"/>
                <w:szCs w:val="16"/>
              </w:rPr>
              <w:t>nuove funzionalità introdotte rispetto a quanto</w:t>
            </w:r>
            <w:r>
              <w:rPr>
                <w:bCs/>
                <w:sz w:val="16"/>
                <w:szCs w:val="16"/>
              </w:rPr>
              <w:t xml:space="preserve"> </w:t>
            </w:r>
            <w:r w:rsidRPr="002626D2">
              <w:rPr>
                <w:bCs/>
                <w:sz w:val="16"/>
                <w:szCs w:val="16"/>
              </w:rPr>
              <w:t>presente al momento dell</w:t>
            </w:r>
            <w:r w:rsidRPr="002626D2">
              <w:rPr>
                <w:rFonts w:hint="eastAsia"/>
                <w:bCs/>
                <w:sz w:val="16"/>
                <w:szCs w:val="16"/>
              </w:rPr>
              <w:t>’</w:t>
            </w:r>
            <w:r w:rsidRPr="002626D2">
              <w:rPr>
                <w:bCs/>
                <w:sz w:val="16"/>
                <w:szCs w:val="16"/>
              </w:rPr>
              <w:t>invio della domanda di</w:t>
            </w:r>
            <w:r>
              <w:rPr>
                <w:bCs/>
                <w:sz w:val="16"/>
                <w:szCs w:val="16"/>
              </w:rPr>
              <w:t xml:space="preserve"> </w:t>
            </w:r>
            <w:r w:rsidRPr="002626D2">
              <w:rPr>
                <w:bCs/>
                <w:sz w:val="16"/>
                <w:szCs w:val="16"/>
              </w:rPr>
              <w:t>ammissione. Il sito web e/o l</w:t>
            </w:r>
            <w:r w:rsidRPr="002626D2">
              <w:rPr>
                <w:rFonts w:hint="eastAsia"/>
                <w:bCs/>
                <w:sz w:val="16"/>
                <w:szCs w:val="16"/>
              </w:rPr>
              <w:t>’</w:t>
            </w:r>
            <w:r w:rsidRPr="002626D2">
              <w:rPr>
                <w:bCs/>
                <w:sz w:val="16"/>
                <w:szCs w:val="16"/>
              </w:rPr>
              <w:t>e-commerce devono</w:t>
            </w:r>
            <w:r>
              <w:rPr>
                <w:bCs/>
                <w:sz w:val="16"/>
                <w:szCs w:val="16"/>
              </w:rPr>
              <w:t xml:space="preserve"> </w:t>
            </w:r>
            <w:r w:rsidRPr="002626D2">
              <w:rPr>
                <w:bCs/>
                <w:sz w:val="16"/>
                <w:szCs w:val="16"/>
              </w:rPr>
              <w:t>essere attivi e funzionanti al momento della</w:t>
            </w:r>
            <w:r>
              <w:rPr>
                <w:bCs/>
                <w:sz w:val="16"/>
                <w:szCs w:val="16"/>
              </w:rPr>
              <w:t xml:space="preserve"> </w:t>
            </w:r>
            <w:r w:rsidRPr="002626D2">
              <w:rPr>
                <w:bCs/>
                <w:sz w:val="16"/>
                <w:szCs w:val="16"/>
              </w:rPr>
              <w:t>presentazione della domanda di erogazione, pena la</w:t>
            </w:r>
            <w:r>
              <w:rPr>
                <w:bCs/>
                <w:sz w:val="16"/>
                <w:szCs w:val="16"/>
              </w:rPr>
              <w:t xml:space="preserve"> </w:t>
            </w:r>
            <w:r w:rsidRPr="002626D2">
              <w:rPr>
                <w:bCs/>
                <w:sz w:val="16"/>
                <w:szCs w:val="16"/>
              </w:rPr>
              <w:t>non ammissibilità della spesa.</w:t>
            </w:r>
          </w:p>
          <w:p w14:paraId="3B53FEA3" w14:textId="77777777" w:rsidR="00587F89" w:rsidRPr="00B54FF3" w:rsidRDefault="00587F89" w:rsidP="00587F89">
            <w:pPr>
              <w:spacing w:before="60" w:after="60"/>
              <w:ind w:left="35"/>
              <w:rPr>
                <w:bCs/>
                <w:sz w:val="16"/>
                <w:szCs w:val="16"/>
              </w:rPr>
            </w:pPr>
            <w:r w:rsidRPr="002626D2">
              <w:rPr>
                <w:bCs/>
                <w:sz w:val="16"/>
                <w:szCs w:val="16"/>
              </w:rPr>
              <w:t>Con riguardo alla predisposizione di siti web e sistemi</w:t>
            </w:r>
            <w:r>
              <w:rPr>
                <w:bCs/>
                <w:sz w:val="16"/>
                <w:szCs w:val="16"/>
              </w:rPr>
              <w:t xml:space="preserve"> </w:t>
            </w:r>
            <w:r w:rsidRPr="002626D2">
              <w:rPr>
                <w:bCs/>
                <w:sz w:val="16"/>
                <w:szCs w:val="16"/>
              </w:rPr>
              <w:t>di e-commerce, sono comprese anche le spese per la</w:t>
            </w:r>
            <w:r>
              <w:rPr>
                <w:bCs/>
                <w:sz w:val="16"/>
                <w:szCs w:val="16"/>
              </w:rPr>
              <w:t xml:space="preserve"> </w:t>
            </w:r>
            <w:r w:rsidRPr="002626D2">
              <w:rPr>
                <w:bCs/>
                <w:sz w:val="16"/>
                <w:szCs w:val="16"/>
              </w:rPr>
              <w:t>predisposizione del portfolio prodotti, web design,</w:t>
            </w:r>
            <w:r>
              <w:rPr>
                <w:bCs/>
                <w:sz w:val="16"/>
                <w:szCs w:val="16"/>
              </w:rPr>
              <w:t xml:space="preserve"> </w:t>
            </w:r>
            <w:r w:rsidRPr="002626D2">
              <w:rPr>
                <w:bCs/>
                <w:sz w:val="16"/>
                <w:szCs w:val="16"/>
              </w:rPr>
              <w:t>creazione vetrina e schede prodotti, realizzazione</w:t>
            </w:r>
            <w:r>
              <w:rPr>
                <w:bCs/>
                <w:sz w:val="16"/>
                <w:szCs w:val="16"/>
              </w:rPr>
              <w:t xml:space="preserve"> </w:t>
            </w:r>
            <w:proofErr w:type="spellStart"/>
            <w:r w:rsidRPr="002626D2">
              <w:rPr>
                <w:bCs/>
                <w:sz w:val="16"/>
                <w:szCs w:val="16"/>
              </w:rPr>
              <w:t>gallery</w:t>
            </w:r>
            <w:proofErr w:type="spellEnd"/>
            <w:r w:rsidRPr="002626D2">
              <w:rPr>
                <w:bCs/>
                <w:sz w:val="16"/>
                <w:szCs w:val="16"/>
              </w:rPr>
              <w:t xml:space="preserve"> fotografiche, produzione di filmati di</w:t>
            </w:r>
            <w:r>
              <w:rPr>
                <w:bCs/>
                <w:sz w:val="16"/>
                <w:szCs w:val="16"/>
              </w:rPr>
              <w:t xml:space="preserve"> </w:t>
            </w:r>
            <w:r w:rsidRPr="002626D2">
              <w:rPr>
                <w:bCs/>
                <w:sz w:val="16"/>
                <w:szCs w:val="16"/>
              </w:rPr>
              <w:t>approfondimento sui prodotti.</w:t>
            </w:r>
          </w:p>
        </w:tc>
      </w:tr>
      <w:tr w:rsidR="00B86683" w:rsidRPr="00040A6D" w14:paraId="6E8E8D35" w14:textId="77777777" w:rsidTr="00B86683">
        <w:trPr>
          <w:trHeight w:val="1031"/>
        </w:trPr>
        <w:tc>
          <w:tcPr>
            <w:tcW w:w="417" w:type="pct"/>
            <w:vAlign w:val="center"/>
          </w:tcPr>
          <w:p w14:paraId="195726DD" w14:textId="77777777" w:rsidR="00587F89" w:rsidRPr="00040A6D" w:rsidRDefault="00587F89" w:rsidP="00587F89">
            <w:pPr>
              <w:pStyle w:val="TableParagraph"/>
              <w:spacing w:before="60" w:after="60"/>
              <w:jc w:val="center"/>
              <w:rPr>
                <w:rFonts w:eastAsia="Calibri"/>
                <w:b/>
                <w:sz w:val="16"/>
                <w:szCs w:val="16"/>
              </w:rPr>
            </w:pPr>
            <w:r w:rsidRPr="00040A6D">
              <w:rPr>
                <w:rFonts w:eastAsia="Calibri"/>
                <w:b/>
                <w:sz w:val="16"/>
                <w:szCs w:val="16"/>
              </w:rPr>
              <w:t>C</w:t>
            </w:r>
          </w:p>
        </w:tc>
        <w:tc>
          <w:tcPr>
            <w:tcW w:w="832" w:type="pct"/>
            <w:vAlign w:val="center"/>
          </w:tcPr>
          <w:p w14:paraId="3F7AB57E" w14:textId="77777777" w:rsidR="00587F89" w:rsidRPr="00040A6D" w:rsidRDefault="00587F89" w:rsidP="00587F89">
            <w:pPr>
              <w:pStyle w:val="TableParagraph"/>
              <w:spacing w:before="60" w:after="60"/>
              <w:jc w:val="center"/>
              <w:rPr>
                <w:rFonts w:eastAsia="Calibri"/>
                <w:b/>
                <w:sz w:val="16"/>
                <w:szCs w:val="16"/>
              </w:rPr>
            </w:pPr>
            <w:r w:rsidRPr="002626D2">
              <w:rPr>
                <w:rFonts w:eastAsia="Calibri"/>
                <w:b/>
                <w:spacing w:val="-2"/>
                <w:w w:val="105"/>
                <w:sz w:val="16"/>
                <w:szCs w:val="16"/>
              </w:rPr>
              <w:t>Acquisto o</w:t>
            </w:r>
            <w:r>
              <w:rPr>
                <w:rFonts w:eastAsia="Calibri"/>
                <w:b/>
                <w:spacing w:val="-2"/>
                <w:w w:val="105"/>
                <w:sz w:val="16"/>
                <w:szCs w:val="16"/>
              </w:rPr>
              <w:t xml:space="preserve"> </w:t>
            </w:r>
            <w:r w:rsidRPr="002626D2">
              <w:rPr>
                <w:rFonts w:eastAsia="Calibri"/>
                <w:b/>
                <w:spacing w:val="-2"/>
                <w:w w:val="105"/>
                <w:sz w:val="16"/>
                <w:szCs w:val="16"/>
              </w:rPr>
              <w:t>registrazione</w:t>
            </w:r>
            <w:r>
              <w:rPr>
                <w:rFonts w:eastAsia="Calibri"/>
                <w:b/>
                <w:spacing w:val="-2"/>
                <w:w w:val="105"/>
                <w:sz w:val="16"/>
                <w:szCs w:val="16"/>
              </w:rPr>
              <w:t xml:space="preserve"> </w:t>
            </w:r>
            <w:r w:rsidRPr="002626D2">
              <w:rPr>
                <w:rFonts w:eastAsia="Calibri"/>
                <w:b/>
                <w:spacing w:val="-2"/>
                <w:w w:val="105"/>
                <w:sz w:val="16"/>
                <w:szCs w:val="16"/>
              </w:rPr>
              <w:t>di marchi,</w:t>
            </w:r>
            <w:r>
              <w:rPr>
                <w:rFonts w:eastAsia="Calibri"/>
                <w:b/>
                <w:spacing w:val="-2"/>
                <w:w w:val="105"/>
                <w:sz w:val="16"/>
                <w:szCs w:val="16"/>
              </w:rPr>
              <w:t xml:space="preserve"> </w:t>
            </w:r>
            <w:r w:rsidRPr="002626D2">
              <w:rPr>
                <w:rFonts w:eastAsia="Calibri"/>
                <w:b/>
                <w:spacing w:val="-2"/>
                <w:w w:val="105"/>
                <w:sz w:val="16"/>
                <w:szCs w:val="16"/>
              </w:rPr>
              <w:t>brevetti,</w:t>
            </w:r>
            <w:r>
              <w:rPr>
                <w:rFonts w:eastAsia="Calibri"/>
                <w:b/>
                <w:spacing w:val="-2"/>
                <w:w w:val="105"/>
                <w:sz w:val="16"/>
                <w:szCs w:val="16"/>
              </w:rPr>
              <w:t xml:space="preserve"> </w:t>
            </w:r>
            <w:r w:rsidRPr="002626D2">
              <w:rPr>
                <w:rFonts w:eastAsia="Calibri"/>
                <w:b/>
                <w:spacing w:val="-2"/>
                <w:w w:val="105"/>
                <w:sz w:val="16"/>
                <w:szCs w:val="16"/>
              </w:rPr>
              <w:t xml:space="preserve">licenze, </w:t>
            </w:r>
            <w:proofErr w:type="spellStart"/>
            <w:r w:rsidRPr="002626D2">
              <w:rPr>
                <w:rFonts w:eastAsia="Calibri"/>
                <w:b/>
                <w:spacing w:val="-2"/>
                <w:w w:val="105"/>
                <w:sz w:val="16"/>
                <w:szCs w:val="16"/>
              </w:rPr>
              <w:t>knowhow</w:t>
            </w:r>
            <w:proofErr w:type="spellEnd"/>
            <w:r>
              <w:rPr>
                <w:rFonts w:eastAsia="Calibri"/>
                <w:b/>
                <w:spacing w:val="-2"/>
                <w:w w:val="105"/>
                <w:sz w:val="16"/>
                <w:szCs w:val="16"/>
              </w:rPr>
              <w:t xml:space="preserve"> </w:t>
            </w:r>
            <w:r w:rsidRPr="002626D2">
              <w:rPr>
                <w:rFonts w:eastAsia="Calibri"/>
                <w:b/>
                <w:spacing w:val="-2"/>
                <w:w w:val="105"/>
                <w:sz w:val="16"/>
                <w:szCs w:val="16"/>
              </w:rPr>
              <w:t>esclusivi,</w:t>
            </w:r>
            <w:r>
              <w:rPr>
                <w:rFonts w:eastAsia="Calibri"/>
                <w:b/>
                <w:spacing w:val="-2"/>
                <w:w w:val="105"/>
                <w:sz w:val="16"/>
                <w:szCs w:val="16"/>
              </w:rPr>
              <w:t xml:space="preserve"> </w:t>
            </w:r>
            <w:r w:rsidRPr="002626D2">
              <w:rPr>
                <w:rFonts w:eastAsia="Calibri"/>
                <w:b/>
                <w:spacing w:val="-2"/>
                <w:w w:val="105"/>
                <w:sz w:val="16"/>
                <w:szCs w:val="16"/>
              </w:rPr>
              <w:t>disegni e</w:t>
            </w:r>
            <w:r>
              <w:rPr>
                <w:rFonts w:eastAsia="Calibri"/>
                <w:b/>
                <w:spacing w:val="-2"/>
                <w:w w:val="105"/>
                <w:sz w:val="16"/>
                <w:szCs w:val="16"/>
              </w:rPr>
              <w:t xml:space="preserve"> </w:t>
            </w:r>
            <w:r w:rsidRPr="002626D2">
              <w:rPr>
                <w:rFonts w:eastAsia="Calibri"/>
                <w:b/>
                <w:spacing w:val="-2"/>
                <w:w w:val="105"/>
                <w:sz w:val="16"/>
                <w:szCs w:val="16"/>
              </w:rPr>
              <w:t>modelli di</w:t>
            </w:r>
            <w:r>
              <w:rPr>
                <w:rFonts w:eastAsia="Calibri"/>
                <w:b/>
                <w:spacing w:val="-2"/>
                <w:w w:val="105"/>
                <w:sz w:val="16"/>
                <w:szCs w:val="16"/>
              </w:rPr>
              <w:t xml:space="preserve"> </w:t>
            </w:r>
            <w:r w:rsidRPr="002626D2">
              <w:rPr>
                <w:rFonts w:eastAsia="Calibri"/>
                <w:b/>
                <w:spacing w:val="-2"/>
                <w:w w:val="105"/>
                <w:sz w:val="16"/>
                <w:szCs w:val="16"/>
              </w:rPr>
              <w:t>utilità</w:t>
            </w:r>
          </w:p>
        </w:tc>
        <w:tc>
          <w:tcPr>
            <w:tcW w:w="3751" w:type="pct"/>
            <w:vAlign w:val="center"/>
          </w:tcPr>
          <w:p w14:paraId="61916801" w14:textId="77777777" w:rsidR="00587F89" w:rsidRDefault="00587F89" w:rsidP="00587F89">
            <w:pPr>
              <w:spacing w:before="60" w:after="60"/>
              <w:ind w:left="35"/>
              <w:rPr>
                <w:bCs/>
                <w:sz w:val="16"/>
                <w:szCs w:val="16"/>
              </w:rPr>
            </w:pPr>
            <w:r w:rsidRPr="002626D2">
              <w:rPr>
                <w:bCs/>
                <w:sz w:val="16"/>
                <w:szCs w:val="16"/>
              </w:rPr>
              <w:t>Spese per la registrazione di marchi, brevetti, licenze,</w:t>
            </w:r>
            <w:r>
              <w:rPr>
                <w:bCs/>
                <w:sz w:val="16"/>
                <w:szCs w:val="16"/>
              </w:rPr>
              <w:t xml:space="preserve"> </w:t>
            </w:r>
            <w:r w:rsidRPr="002626D2">
              <w:rPr>
                <w:bCs/>
                <w:sz w:val="16"/>
                <w:szCs w:val="16"/>
              </w:rPr>
              <w:t>know-how esclusivi, disegni e modelli di utilità.</w:t>
            </w:r>
            <w:r>
              <w:rPr>
                <w:bCs/>
                <w:sz w:val="16"/>
                <w:szCs w:val="16"/>
              </w:rPr>
              <w:t xml:space="preserve"> </w:t>
            </w:r>
          </w:p>
          <w:p w14:paraId="224FE846" w14:textId="77777777" w:rsidR="00587F89" w:rsidRPr="00B54FF3" w:rsidRDefault="00587F89" w:rsidP="00587F89">
            <w:pPr>
              <w:spacing w:before="60" w:after="60"/>
              <w:ind w:left="35"/>
              <w:rPr>
                <w:bCs/>
                <w:sz w:val="16"/>
                <w:szCs w:val="16"/>
              </w:rPr>
            </w:pPr>
            <w:r w:rsidRPr="002626D2">
              <w:rPr>
                <w:bCs/>
                <w:sz w:val="16"/>
                <w:szCs w:val="16"/>
              </w:rPr>
              <w:t>Sono compresi i servizi di consulenza relativi alla</w:t>
            </w:r>
            <w:r>
              <w:rPr>
                <w:bCs/>
                <w:sz w:val="16"/>
                <w:szCs w:val="16"/>
              </w:rPr>
              <w:t xml:space="preserve"> </w:t>
            </w:r>
            <w:r w:rsidRPr="002626D2">
              <w:rPr>
                <w:bCs/>
                <w:sz w:val="16"/>
                <w:szCs w:val="16"/>
              </w:rPr>
              <w:t>verifica dei requisiti di registrazione, compreso lo</w:t>
            </w:r>
            <w:r>
              <w:rPr>
                <w:bCs/>
                <w:sz w:val="16"/>
                <w:szCs w:val="16"/>
              </w:rPr>
              <w:t xml:space="preserve"> </w:t>
            </w:r>
            <w:r w:rsidRPr="002626D2">
              <w:rPr>
                <w:bCs/>
                <w:sz w:val="16"/>
                <w:szCs w:val="16"/>
              </w:rPr>
              <w:t>svolgimento di ricerche preventive al deposito della</w:t>
            </w:r>
            <w:r>
              <w:rPr>
                <w:bCs/>
                <w:sz w:val="16"/>
                <w:szCs w:val="16"/>
              </w:rPr>
              <w:t xml:space="preserve"> </w:t>
            </w:r>
            <w:r w:rsidRPr="002626D2">
              <w:rPr>
                <w:bCs/>
                <w:sz w:val="16"/>
                <w:szCs w:val="16"/>
              </w:rPr>
              <w:t>domanda, i servizi di consulenza relativi alla stesura</w:t>
            </w:r>
            <w:r>
              <w:rPr>
                <w:bCs/>
                <w:sz w:val="16"/>
                <w:szCs w:val="16"/>
              </w:rPr>
              <w:t xml:space="preserve"> </w:t>
            </w:r>
            <w:r w:rsidRPr="002626D2">
              <w:rPr>
                <w:bCs/>
                <w:sz w:val="16"/>
                <w:szCs w:val="16"/>
              </w:rPr>
              <w:t>della domanda di registrazione e al deposito della</w:t>
            </w:r>
            <w:r>
              <w:rPr>
                <w:bCs/>
                <w:sz w:val="16"/>
                <w:szCs w:val="16"/>
              </w:rPr>
              <w:t xml:space="preserve"> </w:t>
            </w:r>
            <w:r w:rsidRPr="002626D2">
              <w:rPr>
                <w:bCs/>
                <w:sz w:val="16"/>
                <w:szCs w:val="16"/>
              </w:rPr>
              <w:t>stessa presso l’Ufficio italiano brevetti e marchi,</w:t>
            </w:r>
            <w:r>
              <w:rPr>
                <w:bCs/>
                <w:sz w:val="16"/>
                <w:szCs w:val="16"/>
              </w:rPr>
              <w:t xml:space="preserve"> </w:t>
            </w:r>
            <w:r w:rsidRPr="002626D2">
              <w:rPr>
                <w:bCs/>
                <w:sz w:val="16"/>
                <w:szCs w:val="16"/>
              </w:rPr>
              <w:t>ovvero presso omologo ufficio europeo o estero per</w:t>
            </w:r>
            <w:r>
              <w:rPr>
                <w:bCs/>
                <w:sz w:val="16"/>
                <w:szCs w:val="16"/>
              </w:rPr>
              <w:t xml:space="preserve"> </w:t>
            </w:r>
            <w:r w:rsidRPr="002626D2">
              <w:rPr>
                <w:bCs/>
                <w:sz w:val="16"/>
                <w:szCs w:val="16"/>
              </w:rPr>
              <w:t>la tutela internazionale.</w:t>
            </w:r>
          </w:p>
        </w:tc>
      </w:tr>
      <w:tr w:rsidR="00B86683" w:rsidRPr="00040A6D" w14:paraId="356321B6" w14:textId="77777777" w:rsidTr="00B86683">
        <w:trPr>
          <w:trHeight w:val="89"/>
        </w:trPr>
        <w:tc>
          <w:tcPr>
            <w:tcW w:w="417" w:type="pct"/>
            <w:vAlign w:val="center"/>
          </w:tcPr>
          <w:p w14:paraId="6DCC2AE7" w14:textId="77777777" w:rsidR="00587F89" w:rsidRPr="00040A6D" w:rsidRDefault="00587F89" w:rsidP="00587F89">
            <w:pPr>
              <w:pStyle w:val="TableParagraph"/>
              <w:spacing w:before="60" w:after="60"/>
              <w:jc w:val="center"/>
              <w:rPr>
                <w:rFonts w:eastAsia="Calibri"/>
                <w:b/>
                <w:w w:val="105"/>
                <w:sz w:val="16"/>
                <w:szCs w:val="16"/>
              </w:rPr>
            </w:pPr>
            <w:r w:rsidRPr="00040A6D">
              <w:rPr>
                <w:rFonts w:eastAsia="Calibri"/>
                <w:b/>
                <w:w w:val="105"/>
                <w:sz w:val="16"/>
                <w:szCs w:val="16"/>
              </w:rPr>
              <w:t>D</w:t>
            </w:r>
          </w:p>
        </w:tc>
        <w:tc>
          <w:tcPr>
            <w:tcW w:w="832" w:type="pct"/>
            <w:vAlign w:val="center"/>
          </w:tcPr>
          <w:p w14:paraId="4C96DB79" w14:textId="77777777" w:rsidR="00587F89" w:rsidRPr="00040A6D" w:rsidRDefault="00587F89" w:rsidP="00587F89">
            <w:pPr>
              <w:pStyle w:val="TableParagraph"/>
              <w:spacing w:before="60" w:after="60"/>
              <w:jc w:val="center"/>
              <w:rPr>
                <w:rFonts w:eastAsia="Calibri"/>
                <w:b/>
                <w:sz w:val="16"/>
                <w:szCs w:val="16"/>
              </w:rPr>
            </w:pPr>
            <w:r>
              <w:rPr>
                <w:rFonts w:eastAsia="Calibri"/>
                <w:b/>
                <w:w w:val="105"/>
                <w:sz w:val="16"/>
                <w:szCs w:val="16"/>
              </w:rPr>
              <w:t>Certificazioni</w:t>
            </w:r>
          </w:p>
        </w:tc>
        <w:tc>
          <w:tcPr>
            <w:tcW w:w="3751" w:type="pct"/>
            <w:vAlign w:val="center"/>
          </w:tcPr>
          <w:p w14:paraId="526E9F07" w14:textId="77777777" w:rsidR="00587F89" w:rsidRPr="00DB46EB" w:rsidRDefault="00587F89" w:rsidP="00587F89">
            <w:pPr>
              <w:spacing w:before="60" w:after="60"/>
              <w:ind w:left="35"/>
              <w:rPr>
                <w:bCs/>
                <w:sz w:val="16"/>
                <w:szCs w:val="16"/>
              </w:rPr>
            </w:pPr>
            <w:r w:rsidRPr="00DB46EB">
              <w:rPr>
                <w:bCs/>
                <w:sz w:val="16"/>
                <w:szCs w:val="16"/>
              </w:rPr>
              <w:t>Spese per il rilascio, da parte di organismi accreditati</w:t>
            </w:r>
            <w:r>
              <w:rPr>
                <w:bCs/>
                <w:sz w:val="16"/>
                <w:szCs w:val="16"/>
              </w:rPr>
              <w:t xml:space="preserve"> </w:t>
            </w:r>
            <w:r w:rsidRPr="00DB46EB">
              <w:rPr>
                <w:bCs/>
                <w:sz w:val="16"/>
                <w:szCs w:val="16"/>
              </w:rPr>
              <w:t>da Accredia o da corrispondenti soggetti esteri per la</w:t>
            </w:r>
            <w:r>
              <w:rPr>
                <w:bCs/>
                <w:sz w:val="16"/>
                <w:szCs w:val="16"/>
              </w:rPr>
              <w:t xml:space="preserve"> </w:t>
            </w:r>
            <w:r w:rsidRPr="00DB46EB">
              <w:rPr>
                <w:bCs/>
                <w:sz w:val="16"/>
                <w:szCs w:val="16"/>
              </w:rPr>
              <w:t>specifica norma da certificare, delle certificazioni di</w:t>
            </w:r>
            <w:r>
              <w:rPr>
                <w:bCs/>
                <w:sz w:val="16"/>
                <w:szCs w:val="16"/>
              </w:rPr>
              <w:t xml:space="preserve"> </w:t>
            </w:r>
            <w:r w:rsidRPr="00DB46EB">
              <w:rPr>
                <w:bCs/>
                <w:sz w:val="16"/>
                <w:szCs w:val="16"/>
              </w:rPr>
              <w:t>sistema di gestione o di prodotto di seguito elencate:</w:t>
            </w:r>
          </w:p>
          <w:p w14:paraId="78D7A2DC" w14:textId="77777777" w:rsidR="00587F89" w:rsidRPr="00DB46EB" w:rsidRDefault="00587F89" w:rsidP="00587F89">
            <w:pPr>
              <w:numPr>
                <w:ilvl w:val="0"/>
                <w:numId w:val="2"/>
              </w:numPr>
              <w:spacing w:before="60" w:after="60"/>
              <w:rPr>
                <w:bCs/>
                <w:sz w:val="16"/>
                <w:szCs w:val="16"/>
              </w:rPr>
            </w:pPr>
            <w:r w:rsidRPr="00DB46EB">
              <w:rPr>
                <w:bCs/>
                <w:sz w:val="16"/>
                <w:szCs w:val="16"/>
              </w:rPr>
              <w:t>UNI EN ISO 14001:2015;</w:t>
            </w:r>
          </w:p>
          <w:p w14:paraId="038FD187" w14:textId="77777777" w:rsidR="00587F89" w:rsidRPr="00DB46EB" w:rsidRDefault="00587F89" w:rsidP="00587F89">
            <w:pPr>
              <w:numPr>
                <w:ilvl w:val="0"/>
                <w:numId w:val="2"/>
              </w:numPr>
              <w:spacing w:before="60" w:after="60"/>
              <w:rPr>
                <w:bCs/>
                <w:sz w:val="16"/>
                <w:szCs w:val="16"/>
              </w:rPr>
            </w:pPr>
            <w:r w:rsidRPr="00DB46EB">
              <w:rPr>
                <w:bCs/>
                <w:sz w:val="16"/>
                <w:szCs w:val="16"/>
              </w:rPr>
              <w:t>UNI EN ISO 45001:2018;</w:t>
            </w:r>
          </w:p>
          <w:p w14:paraId="3F65E868" w14:textId="77777777" w:rsidR="00587F89" w:rsidRPr="00DB46EB" w:rsidRDefault="00587F89" w:rsidP="00587F89">
            <w:pPr>
              <w:numPr>
                <w:ilvl w:val="0"/>
                <w:numId w:val="2"/>
              </w:numPr>
              <w:spacing w:before="60" w:after="60"/>
              <w:rPr>
                <w:bCs/>
                <w:sz w:val="16"/>
                <w:szCs w:val="16"/>
              </w:rPr>
            </w:pPr>
            <w:r w:rsidRPr="00DB46EB">
              <w:rPr>
                <w:bCs/>
                <w:sz w:val="16"/>
                <w:szCs w:val="16"/>
              </w:rPr>
              <w:t>UNI CEI EN ISO 50001:2018;</w:t>
            </w:r>
          </w:p>
          <w:p w14:paraId="4391B8BF" w14:textId="77777777" w:rsidR="00587F89" w:rsidRPr="00DB46EB" w:rsidRDefault="00587F89" w:rsidP="00587F89">
            <w:pPr>
              <w:numPr>
                <w:ilvl w:val="0"/>
                <w:numId w:val="2"/>
              </w:numPr>
              <w:spacing w:before="60" w:after="60"/>
              <w:rPr>
                <w:bCs/>
                <w:sz w:val="16"/>
                <w:szCs w:val="16"/>
              </w:rPr>
            </w:pPr>
            <w:r w:rsidRPr="00DB46EB">
              <w:rPr>
                <w:bCs/>
                <w:sz w:val="16"/>
                <w:szCs w:val="16"/>
              </w:rPr>
              <w:t>Registrazione EMAS (Regolamento CE n. 1221/2009);</w:t>
            </w:r>
          </w:p>
          <w:p w14:paraId="48693E7E" w14:textId="77777777" w:rsidR="00587F89" w:rsidRPr="00DB46EB" w:rsidRDefault="00587F89" w:rsidP="00587F89">
            <w:pPr>
              <w:numPr>
                <w:ilvl w:val="0"/>
                <w:numId w:val="2"/>
              </w:numPr>
              <w:spacing w:before="60" w:after="60"/>
              <w:rPr>
                <w:bCs/>
                <w:sz w:val="16"/>
                <w:szCs w:val="16"/>
              </w:rPr>
            </w:pPr>
            <w:proofErr w:type="spellStart"/>
            <w:r w:rsidRPr="00DB46EB">
              <w:rPr>
                <w:bCs/>
                <w:sz w:val="16"/>
                <w:szCs w:val="16"/>
              </w:rPr>
              <w:t>ReMade</w:t>
            </w:r>
            <w:proofErr w:type="spellEnd"/>
            <w:r w:rsidRPr="00DB46EB">
              <w:rPr>
                <w:bCs/>
                <w:sz w:val="16"/>
                <w:szCs w:val="16"/>
              </w:rPr>
              <w:t xml:space="preserve"> in Italy;</w:t>
            </w:r>
          </w:p>
          <w:p w14:paraId="088F5014" w14:textId="77777777" w:rsidR="00587F89" w:rsidRPr="00DB46EB" w:rsidRDefault="00587F89" w:rsidP="00587F89">
            <w:pPr>
              <w:numPr>
                <w:ilvl w:val="0"/>
                <w:numId w:val="2"/>
              </w:numPr>
              <w:spacing w:before="60" w:after="60"/>
              <w:rPr>
                <w:bCs/>
                <w:sz w:val="16"/>
                <w:szCs w:val="16"/>
              </w:rPr>
            </w:pPr>
            <w:r w:rsidRPr="00DB46EB">
              <w:rPr>
                <w:bCs/>
                <w:sz w:val="16"/>
                <w:szCs w:val="16"/>
              </w:rPr>
              <w:t>Plastica Seconda Vita;</w:t>
            </w:r>
          </w:p>
          <w:p w14:paraId="7CFFBCBE" w14:textId="77777777" w:rsidR="00587F89" w:rsidRPr="00DB46EB" w:rsidRDefault="00587F89" w:rsidP="00587F89">
            <w:pPr>
              <w:numPr>
                <w:ilvl w:val="0"/>
                <w:numId w:val="2"/>
              </w:numPr>
              <w:spacing w:before="60" w:after="60"/>
              <w:rPr>
                <w:bCs/>
                <w:sz w:val="16"/>
                <w:szCs w:val="16"/>
              </w:rPr>
            </w:pPr>
            <w:r w:rsidRPr="00DB46EB">
              <w:rPr>
                <w:bCs/>
                <w:sz w:val="16"/>
                <w:szCs w:val="16"/>
              </w:rPr>
              <w:t xml:space="preserve">Cradle to </w:t>
            </w:r>
            <w:proofErr w:type="spellStart"/>
            <w:r w:rsidRPr="00DB46EB">
              <w:rPr>
                <w:bCs/>
                <w:sz w:val="16"/>
                <w:szCs w:val="16"/>
              </w:rPr>
              <w:t>cradle</w:t>
            </w:r>
            <w:proofErr w:type="spellEnd"/>
            <w:r w:rsidRPr="00DB46EB">
              <w:rPr>
                <w:bCs/>
                <w:sz w:val="16"/>
                <w:szCs w:val="16"/>
              </w:rPr>
              <w:t>;</w:t>
            </w:r>
          </w:p>
          <w:p w14:paraId="79F8CF0A" w14:textId="77777777" w:rsidR="00587F89" w:rsidRPr="00DB46EB" w:rsidRDefault="00587F89" w:rsidP="00587F89">
            <w:pPr>
              <w:numPr>
                <w:ilvl w:val="0"/>
                <w:numId w:val="2"/>
              </w:numPr>
              <w:spacing w:before="60" w:after="60"/>
              <w:rPr>
                <w:bCs/>
                <w:sz w:val="16"/>
                <w:szCs w:val="16"/>
              </w:rPr>
            </w:pPr>
            <w:r w:rsidRPr="00DB46EB">
              <w:rPr>
                <w:bCs/>
                <w:sz w:val="16"/>
                <w:szCs w:val="16"/>
              </w:rPr>
              <w:t>Carbon footprint;</w:t>
            </w:r>
          </w:p>
          <w:p w14:paraId="592BA2F3" w14:textId="77777777" w:rsidR="00587F89" w:rsidRPr="00DB46EB" w:rsidRDefault="00587F89" w:rsidP="00587F89">
            <w:pPr>
              <w:numPr>
                <w:ilvl w:val="0"/>
                <w:numId w:val="2"/>
              </w:numPr>
              <w:spacing w:before="60" w:after="60"/>
              <w:rPr>
                <w:bCs/>
                <w:sz w:val="16"/>
                <w:szCs w:val="16"/>
              </w:rPr>
            </w:pPr>
            <w:r w:rsidRPr="00DB46EB">
              <w:rPr>
                <w:bCs/>
                <w:sz w:val="16"/>
                <w:szCs w:val="16"/>
              </w:rPr>
              <w:t>Ecolabel;</w:t>
            </w:r>
          </w:p>
          <w:p w14:paraId="7A1728E7" w14:textId="77777777" w:rsidR="00587F89" w:rsidRDefault="00587F89" w:rsidP="00587F89">
            <w:pPr>
              <w:numPr>
                <w:ilvl w:val="0"/>
                <w:numId w:val="2"/>
              </w:numPr>
              <w:spacing w:before="60" w:after="60"/>
              <w:rPr>
                <w:bCs/>
                <w:sz w:val="16"/>
                <w:szCs w:val="16"/>
              </w:rPr>
            </w:pPr>
            <w:proofErr w:type="spellStart"/>
            <w:r w:rsidRPr="00DB46EB">
              <w:rPr>
                <w:bCs/>
                <w:sz w:val="16"/>
                <w:szCs w:val="16"/>
              </w:rPr>
              <w:t>Greenguard</w:t>
            </w:r>
            <w:proofErr w:type="spellEnd"/>
            <w:r w:rsidRPr="00DB46EB">
              <w:rPr>
                <w:bCs/>
                <w:sz w:val="16"/>
                <w:szCs w:val="16"/>
              </w:rPr>
              <w:t>.</w:t>
            </w:r>
          </w:p>
          <w:p w14:paraId="658923F2" w14:textId="77777777" w:rsidR="00587F89" w:rsidRPr="00DB46EB" w:rsidRDefault="00587F89" w:rsidP="00587F89">
            <w:pPr>
              <w:spacing w:before="60" w:after="60"/>
              <w:rPr>
                <w:bCs/>
                <w:sz w:val="16"/>
                <w:szCs w:val="16"/>
              </w:rPr>
            </w:pPr>
            <w:r w:rsidRPr="00DB46EB">
              <w:rPr>
                <w:bCs/>
                <w:sz w:val="16"/>
                <w:szCs w:val="16"/>
              </w:rPr>
              <w:t>Sono ammissibili (con esclusione di eventuali tasse,</w:t>
            </w:r>
            <w:r>
              <w:rPr>
                <w:bCs/>
                <w:sz w:val="16"/>
                <w:szCs w:val="16"/>
              </w:rPr>
              <w:t xml:space="preserve"> </w:t>
            </w:r>
            <w:r w:rsidRPr="00DB46EB">
              <w:rPr>
                <w:bCs/>
                <w:sz w:val="16"/>
                <w:szCs w:val="16"/>
              </w:rPr>
              <w:t>imposte e spese anticipate) le spese per:</w:t>
            </w:r>
          </w:p>
          <w:p w14:paraId="5934E8D5" w14:textId="77777777" w:rsidR="00587F89" w:rsidRPr="00DB46EB" w:rsidRDefault="00587F89" w:rsidP="00587F89">
            <w:pPr>
              <w:numPr>
                <w:ilvl w:val="0"/>
                <w:numId w:val="3"/>
              </w:numPr>
              <w:spacing w:before="60" w:after="60"/>
              <w:rPr>
                <w:bCs/>
                <w:sz w:val="16"/>
                <w:szCs w:val="16"/>
              </w:rPr>
            </w:pPr>
            <w:r w:rsidRPr="00DB46EB">
              <w:rPr>
                <w:bCs/>
                <w:sz w:val="16"/>
                <w:szCs w:val="16"/>
              </w:rPr>
              <w:t>consulenza qualificata finalizzata all’ottenimento</w:t>
            </w:r>
            <w:r>
              <w:rPr>
                <w:bCs/>
                <w:sz w:val="16"/>
                <w:szCs w:val="16"/>
              </w:rPr>
              <w:t xml:space="preserve"> </w:t>
            </w:r>
            <w:r w:rsidRPr="00DB46EB">
              <w:rPr>
                <w:bCs/>
                <w:sz w:val="16"/>
                <w:szCs w:val="16"/>
              </w:rPr>
              <w:t>della certificazione;</w:t>
            </w:r>
          </w:p>
          <w:p w14:paraId="5DD51F20" w14:textId="77777777" w:rsidR="00587F89" w:rsidRPr="00DB46EB" w:rsidRDefault="00587F89" w:rsidP="00587F89">
            <w:pPr>
              <w:numPr>
                <w:ilvl w:val="0"/>
                <w:numId w:val="3"/>
              </w:numPr>
              <w:spacing w:before="60" w:after="60"/>
              <w:rPr>
                <w:bCs/>
                <w:sz w:val="16"/>
                <w:szCs w:val="16"/>
              </w:rPr>
            </w:pPr>
            <w:r w:rsidRPr="00DB46EB">
              <w:rPr>
                <w:bCs/>
                <w:sz w:val="16"/>
                <w:szCs w:val="16"/>
              </w:rPr>
              <w:t>l’ente di verifica e di certificazione.</w:t>
            </w:r>
          </w:p>
          <w:p w14:paraId="5417F01B" w14:textId="77777777" w:rsidR="00587F89" w:rsidRPr="00B54FF3" w:rsidRDefault="00587F89" w:rsidP="00587F89">
            <w:pPr>
              <w:spacing w:before="60" w:after="60"/>
              <w:rPr>
                <w:bCs/>
                <w:sz w:val="16"/>
                <w:szCs w:val="16"/>
              </w:rPr>
            </w:pPr>
            <w:r w:rsidRPr="00DB46EB">
              <w:rPr>
                <w:bCs/>
                <w:sz w:val="16"/>
                <w:szCs w:val="16"/>
              </w:rPr>
              <w:t>Ai fini dell’ammissibilità delle spese il Soggetto</w:t>
            </w:r>
            <w:r>
              <w:rPr>
                <w:bCs/>
                <w:sz w:val="16"/>
                <w:szCs w:val="16"/>
              </w:rPr>
              <w:t xml:space="preserve"> </w:t>
            </w:r>
            <w:r w:rsidRPr="00DB46EB">
              <w:rPr>
                <w:bCs/>
                <w:sz w:val="16"/>
                <w:szCs w:val="16"/>
              </w:rPr>
              <w:t>Beneficiario deve ottenere la certificazione entro il</w:t>
            </w:r>
            <w:r>
              <w:rPr>
                <w:bCs/>
                <w:sz w:val="16"/>
                <w:szCs w:val="16"/>
              </w:rPr>
              <w:t xml:space="preserve"> </w:t>
            </w:r>
            <w:r w:rsidRPr="00DB46EB">
              <w:rPr>
                <w:bCs/>
                <w:sz w:val="16"/>
                <w:szCs w:val="16"/>
              </w:rPr>
              <w:t>termine del Programma di investimento.</w:t>
            </w:r>
            <w:r>
              <w:rPr>
                <w:bCs/>
                <w:sz w:val="16"/>
                <w:szCs w:val="16"/>
              </w:rPr>
              <w:t xml:space="preserve"> </w:t>
            </w:r>
            <w:r w:rsidRPr="00DB46EB">
              <w:rPr>
                <w:bCs/>
                <w:sz w:val="16"/>
                <w:szCs w:val="16"/>
              </w:rPr>
              <w:t>Non sono ammissibili le spese inerenti al</w:t>
            </w:r>
            <w:r>
              <w:rPr>
                <w:bCs/>
                <w:sz w:val="16"/>
                <w:szCs w:val="16"/>
              </w:rPr>
              <w:t xml:space="preserve"> </w:t>
            </w:r>
            <w:r w:rsidRPr="00DB46EB">
              <w:rPr>
                <w:bCs/>
                <w:sz w:val="16"/>
                <w:szCs w:val="16"/>
              </w:rPr>
              <w:t>mantenimento delle certificazioni già acquisite.</w:t>
            </w:r>
          </w:p>
        </w:tc>
      </w:tr>
      <w:tr w:rsidR="00B86683" w:rsidRPr="00040A6D" w14:paraId="5361DE53" w14:textId="77777777" w:rsidTr="00B86683">
        <w:trPr>
          <w:trHeight w:val="89"/>
        </w:trPr>
        <w:tc>
          <w:tcPr>
            <w:tcW w:w="417" w:type="pct"/>
            <w:vAlign w:val="center"/>
          </w:tcPr>
          <w:p w14:paraId="37111E28" w14:textId="77777777" w:rsidR="00587F89" w:rsidRPr="00040A6D" w:rsidRDefault="00587F89" w:rsidP="00587F89">
            <w:pPr>
              <w:pStyle w:val="TableParagraph"/>
              <w:spacing w:before="60" w:after="60"/>
              <w:jc w:val="center"/>
              <w:rPr>
                <w:rFonts w:eastAsia="Calibri"/>
                <w:b/>
                <w:w w:val="105"/>
                <w:sz w:val="16"/>
                <w:szCs w:val="16"/>
              </w:rPr>
            </w:pPr>
            <w:r>
              <w:rPr>
                <w:rFonts w:eastAsia="Calibri"/>
                <w:b/>
                <w:w w:val="105"/>
                <w:sz w:val="16"/>
                <w:szCs w:val="16"/>
              </w:rPr>
              <w:t>E</w:t>
            </w:r>
          </w:p>
        </w:tc>
        <w:tc>
          <w:tcPr>
            <w:tcW w:w="832" w:type="pct"/>
            <w:vAlign w:val="center"/>
          </w:tcPr>
          <w:p w14:paraId="26BEB29C" w14:textId="77777777" w:rsidR="00587F89" w:rsidRDefault="00587F89" w:rsidP="00587F89">
            <w:pPr>
              <w:pStyle w:val="TableParagraph"/>
              <w:spacing w:before="60" w:after="60"/>
              <w:jc w:val="center"/>
              <w:rPr>
                <w:rFonts w:eastAsia="Calibri"/>
                <w:b/>
                <w:w w:val="105"/>
                <w:sz w:val="16"/>
                <w:szCs w:val="16"/>
              </w:rPr>
            </w:pPr>
            <w:r>
              <w:rPr>
                <w:rFonts w:eastAsia="Calibri"/>
                <w:b/>
                <w:w w:val="105"/>
                <w:sz w:val="16"/>
                <w:szCs w:val="16"/>
              </w:rPr>
              <w:t>Opere murare e impiantistica</w:t>
            </w:r>
          </w:p>
        </w:tc>
        <w:tc>
          <w:tcPr>
            <w:tcW w:w="3751" w:type="pct"/>
            <w:vAlign w:val="center"/>
          </w:tcPr>
          <w:p w14:paraId="7CD6C87C" w14:textId="77777777" w:rsidR="00587F89" w:rsidRPr="00DB46EB" w:rsidRDefault="00587F89" w:rsidP="00587F89">
            <w:pPr>
              <w:numPr>
                <w:ilvl w:val="0"/>
                <w:numId w:val="4"/>
              </w:numPr>
              <w:spacing w:before="60" w:after="60"/>
              <w:ind w:left="422" w:hanging="283"/>
              <w:rPr>
                <w:bCs/>
                <w:sz w:val="16"/>
                <w:szCs w:val="16"/>
              </w:rPr>
            </w:pPr>
            <w:r w:rsidRPr="00DB46EB">
              <w:rPr>
                <w:bCs/>
                <w:sz w:val="16"/>
                <w:szCs w:val="16"/>
              </w:rPr>
              <w:t>opere murarie, ricadenti negli interventi di</w:t>
            </w:r>
            <w:r>
              <w:rPr>
                <w:bCs/>
                <w:sz w:val="16"/>
                <w:szCs w:val="16"/>
              </w:rPr>
              <w:t xml:space="preserve"> </w:t>
            </w:r>
            <w:r w:rsidRPr="00DB46EB">
              <w:rPr>
                <w:bCs/>
                <w:sz w:val="16"/>
                <w:szCs w:val="16"/>
              </w:rPr>
              <w:t>manutenzione ordinaria e straordinaria di cui</w:t>
            </w:r>
            <w:r>
              <w:rPr>
                <w:bCs/>
                <w:sz w:val="16"/>
                <w:szCs w:val="16"/>
              </w:rPr>
              <w:t xml:space="preserve"> </w:t>
            </w:r>
            <w:r w:rsidRPr="00DB46EB">
              <w:rPr>
                <w:bCs/>
                <w:sz w:val="16"/>
                <w:szCs w:val="16"/>
              </w:rPr>
              <w:t>all'articolo 3, comma 1, lettere a) e b) del D.P.R.</w:t>
            </w:r>
            <w:r>
              <w:rPr>
                <w:bCs/>
                <w:sz w:val="16"/>
                <w:szCs w:val="16"/>
              </w:rPr>
              <w:t xml:space="preserve"> </w:t>
            </w:r>
            <w:r w:rsidRPr="00DB46EB">
              <w:rPr>
                <w:bCs/>
                <w:sz w:val="16"/>
                <w:szCs w:val="16"/>
              </w:rPr>
              <w:t>n. 380 del 2001 "Testo unico delle disposizioni</w:t>
            </w:r>
            <w:r>
              <w:rPr>
                <w:bCs/>
                <w:sz w:val="16"/>
                <w:szCs w:val="16"/>
              </w:rPr>
              <w:t xml:space="preserve"> </w:t>
            </w:r>
            <w:r w:rsidRPr="00DB46EB">
              <w:rPr>
                <w:bCs/>
                <w:sz w:val="16"/>
                <w:szCs w:val="16"/>
              </w:rPr>
              <w:t>legislative e regolamentari in materia edilizia</w:t>
            </w:r>
            <w:r w:rsidRPr="00DB46EB">
              <w:rPr>
                <w:rFonts w:hint="eastAsia"/>
                <w:bCs/>
                <w:sz w:val="16"/>
                <w:szCs w:val="16"/>
              </w:rPr>
              <w:t>”</w:t>
            </w:r>
            <w:r w:rsidRPr="00DB46EB">
              <w:rPr>
                <w:bCs/>
                <w:sz w:val="16"/>
                <w:szCs w:val="16"/>
              </w:rPr>
              <w:t>;</w:t>
            </w:r>
          </w:p>
          <w:p w14:paraId="56D637A1" w14:textId="77777777" w:rsidR="00587F89" w:rsidRDefault="00587F89" w:rsidP="00587F89">
            <w:pPr>
              <w:numPr>
                <w:ilvl w:val="0"/>
                <w:numId w:val="4"/>
              </w:numPr>
              <w:spacing w:before="60" w:after="60"/>
              <w:ind w:left="422" w:hanging="283"/>
              <w:rPr>
                <w:bCs/>
                <w:sz w:val="16"/>
                <w:szCs w:val="16"/>
              </w:rPr>
            </w:pPr>
            <w:r w:rsidRPr="00DB46EB">
              <w:rPr>
                <w:bCs/>
                <w:sz w:val="16"/>
                <w:szCs w:val="16"/>
              </w:rPr>
              <w:t>spese per impianti elettrici, idrico-sanitari, di</w:t>
            </w:r>
            <w:r>
              <w:rPr>
                <w:bCs/>
                <w:sz w:val="16"/>
                <w:szCs w:val="16"/>
              </w:rPr>
              <w:t xml:space="preserve"> </w:t>
            </w:r>
            <w:r w:rsidRPr="00DB46EB">
              <w:rPr>
                <w:bCs/>
                <w:sz w:val="16"/>
                <w:szCs w:val="16"/>
              </w:rPr>
              <w:t>riscaldamento, di climatizzazione, compresi gli</w:t>
            </w:r>
            <w:r>
              <w:rPr>
                <w:bCs/>
                <w:sz w:val="16"/>
                <w:szCs w:val="16"/>
              </w:rPr>
              <w:t xml:space="preserve"> </w:t>
            </w:r>
            <w:r w:rsidRPr="00DB46EB">
              <w:rPr>
                <w:bCs/>
                <w:sz w:val="16"/>
                <w:szCs w:val="16"/>
              </w:rPr>
              <w:t>impianti a fonti rinnovabili (fotovoltaico, solare</w:t>
            </w:r>
            <w:r>
              <w:rPr>
                <w:bCs/>
                <w:sz w:val="16"/>
                <w:szCs w:val="16"/>
              </w:rPr>
              <w:t xml:space="preserve"> </w:t>
            </w:r>
            <w:r w:rsidRPr="00DB46EB">
              <w:rPr>
                <w:bCs/>
                <w:sz w:val="16"/>
                <w:szCs w:val="16"/>
              </w:rPr>
              <w:t>termico, eolico, geotermico, etc.) e le correlate</w:t>
            </w:r>
            <w:r>
              <w:rPr>
                <w:bCs/>
                <w:sz w:val="16"/>
                <w:szCs w:val="16"/>
              </w:rPr>
              <w:t xml:space="preserve"> </w:t>
            </w:r>
            <w:r w:rsidRPr="00DB46EB">
              <w:rPr>
                <w:bCs/>
                <w:sz w:val="16"/>
                <w:szCs w:val="16"/>
              </w:rPr>
              <w:t>spese per il sistema combinato di inverter con</w:t>
            </w:r>
            <w:r>
              <w:rPr>
                <w:bCs/>
                <w:sz w:val="16"/>
                <w:szCs w:val="16"/>
              </w:rPr>
              <w:t xml:space="preserve"> </w:t>
            </w:r>
            <w:r w:rsidRPr="00DB46EB">
              <w:rPr>
                <w:bCs/>
                <w:sz w:val="16"/>
                <w:szCs w:val="16"/>
              </w:rPr>
              <w:t>batterie e l</w:t>
            </w:r>
            <w:r w:rsidRPr="00DB46EB">
              <w:rPr>
                <w:rFonts w:hint="eastAsia"/>
                <w:bCs/>
                <w:sz w:val="16"/>
                <w:szCs w:val="16"/>
              </w:rPr>
              <w:t>’</w:t>
            </w:r>
            <w:r w:rsidRPr="00DB46EB">
              <w:rPr>
                <w:bCs/>
                <w:sz w:val="16"/>
                <w:szCs w:val="16"/>
              </w:rPr>
              <w:t>allacciamento alla rete dell</w:t>
            </w:r>
            <w:r w:rsidRPr="00DB46EB">
              <w:rPr>
                <w:rFonts w:hint="eastAsia"/>
                <w:bCs/>
                <w:sz w:val="16"/>
                <w:szCs w:val="16"/>
              </w:rPr>
              <w:t>’</w:t>
            </w:r>
            <w:r w:rsidRPr="00DB46EB">
              <w:rPr>
                <w:bCs/>
                <w:sz w:val="16"/>
                <w:szCs w:val="16"/>
              </w:rPr>
              <w:t>energia</w:t>
            </w:r>
            <w:r>
              <w:rPr>
                <w:bCs/>
                <w:sz w:val="16"/>
                <w:szCs w:val="16"/>
              </w:rPr>
              <w:t xml:space="preserve"> </w:t>
            </w:r>
            <w:r w:rsidRPr="00DB46EB">
              <w:rPr>
                <w:bCs/>
                <w:sz w:val="16"/>
                <w:szCs w:val="16"/>
              </w:rPr>
              <w:t>elettrica. Non sono ammissibili impianti</w:t>
            </w:r>
            <w:r>
              <w:rPr>
                <w:bCs/>
                <w:sz w:val="16"/>
                <w:szCs w:val="16"/>
              </w:rPr>
              <w:t xml:space="preserve"> </w:t>
            </w:r>
            <w:r w:rsidRPr="00DB46EB">
              <w:rPr>
                <w:bCs/>
                <w:sz w:val="16"/>
                <w:szCs w:val="16"/>
              </w:rPr>
              <w:t>alimentati da combustibili fossili, compreso il gas</w:t>
            </w:r>
            <w:r>
              <w:rPr>
                <w:bCs/>
                <w:sz w:val="16"/>
                <w:szCs w:val="16"/>
              </w:rPr>
              <w:t xml:space="preserve"> </w:t>
            </w:r>
            <w:r w:rsidRPr="00DB46EB">
              <w:rPr>
                <w:bCs/>
                <w:sz w:val="16"/>
                <w:szCs w:val="16"/>
              </w:rPr>
              <w:t>naturale ai sensi dell</w:t>
            </w:r>
            <w:r w:rsidRPr="00DB46EB">
              <w:rPr>
                <w:rFonts w:hint="eastAsia"/>
                <w:bCs/>
                <w:sz w:val="16"/>
                <w:szCs w:val="16"/>
              </w:rPr>
              <w:t>’</w:t>
            </w:r>
            <w:r w:rsidRPr="00DB46EB">
              <w:rPr>
                <w:bCs/>
                <w:sz w:val="16"/>
                <w:szCs w:val="16"/>
              </w:rPr>
              <w:t>art.7 Regolamento (UE)</w:t>
            </w:r>
            <w:r>
              <w:rPr>
                <w:bCs/>
                <w:sz w:val="16"/>
                <w:szCs w:val="16"/>
              </w:rPr>
              <w:t xml:space="preserve"> </w:t>
            </w:r>
            <w:r w:rsidRPr="00DB46EB">
              <w:rPr>
                <w:bCs/>
                <w:sz w:val="16"/>
                <w:szCs w:val="16"/>
              </w:rPr>
              <w:t>1058/2021. Non sono ammessi gli interventi di</w:t>
            </w:r>
            <w:r>
              <w:rPr>
                <w:bCs/>
                <w:sz w:val="16"/>
                <w:szCs w:val="16"/>
              </w:rPr>
              <w:t xml:space="preserve"> </w:t>
            </w:r>
            <w:r w:rsidRPr="00DB46EB">
              <w:rPr>
                <w:bCs/>
                <w:sz w:val="16"/>
                <w:szCs w:val="16"/>
              </w:rPr>
              <w:t>sola "messa a norma" di edifici e/o impianti o</w:t>
            </w:r>
            <w:r>
              <w:rPr>
                <w:bCs/>
                <w:sz w:val="16"/>
                <w:szCs w:val="16"/>
              </w:rPr>
              <w:t xml:space="preserve"> </w:t>
            </w:r>
            <w:r w:rsidRPr="00DB46EB">
              <w:rPr>
                <w:bCs/>
                <w:sz w:val="16"/>
                <w:szCs w:val="16"/>
              </w:rPr>
              <w:t>porzioni di essi per ricondurre l</w:t>
            </w:r>
            <w:r w:rsidRPr="00DB46EB">
              <w:rPr>
                <w:rFonts w:hint="eastAsia"/>
                <w:bCs/>
                <w:sz w:val="16"/>
                <w:szCs w:val="16"/>
              </w:rPr>
              <w:t>’</w:t>
            </w:r>
            <w:r w:rsidRPr="00DB46EB">
              <w:rPr>
                <w:bCs/>
                <w:sz w:val="16"/>
                <w:szCs w:val="16"/>
              </w:rPr>
              <w:t>immobile a</w:t>
            </w:r>
            <w:r>
              <w:rPr>
                <w:bCs/>
                <w:sz w:val="16"/>
                <w:szCs w:val="16"/>
              </w:rPr>
              <w:t xml:space="preserve"> </w:t>
            </w:r>
            <w:r w:rsidRPr="00DB46EB">
              <w:rPr>
                <w:bCs/>
                <w:sz w:val="16"/>
                <w:szCs w:val="16"/>
              </w:rPr>
              <w:t>conformità di legge o regolamento e gli interventi</w:t>
            </w:r>
            <w:r>
              <w:rPr>
                <w:bCs/>
                <w:sz w:val="16"/>
                <w:szCs w:val="16"/>
              </w:rPr>
              <w:t xml:space="preserve"> </w:t>
            </w:r>
            <w:r w:rsidRPr="00DB46EB">
              <w:rPr>
                <w:bCs/>
                <w:sz w:val="16"/>
                <w:szCs w:val="16"/>
              </w:rPr>
              <w:t>di manutenzione ordinaria non soggetti al rilascio</w:t>
            </w:r>
            <w:r>
              <w:rPr>
                <w:bCs/>
                <w:sz w:val="16"/>
                <w:szCs w:val="16"/>
              </w:rPr>
              <w:t xml:space="preserve"> </w:t>
            </w:r>
            <w:r w:rsidRPr="00DB46EB">
              <w:rPr>
                <w:bCs/>
                <w:sz w:val="16"/>
                <w:szCs w:val="16"/>
              </w:rPr>
              <w:t>della dichiarazione di conformità dell'impianto da</w:t>
            </w:r>
            <w:r>
              <w:rPr>
                <w:bCs/>
                <w:sz w:val="16"/>
                <w:szCs w:val="16"/>
              </w:rPr>
              <w:t xml:space="preserve"> </w:t>
            </w:r>
            <w:r w:rsidRPr="00DB46EB">
              <w:rPr>
                <w:bCs/>
                <w:sz w:val="16"/>
                <w:szCs w:val="16"/>
              </w:rPr>
              <w:t>parte dell'impresa installatrice che ha eseguito i</w:t>
            </w:r>
            <w:r>
              <w:rPr>
                <w:bCs/>
                <w:sz w:val="16"/>
                <w:szCs w:val="16"/>
              </w:rPr>
              <w:t xml:space="preserve"> </w:t>
            </w:r>
            <w:r w:rsidRPr="00DB46EB">
              <w:rPr>
                <w:bCs/>
                <w:sz w:val="16"/>
                <w:szCs w:val="16"/>
              </w:rPr>
              <w:t>lavori e che ha emesso la fattura.</w:t>
            </w:r>
          </w:p>
          <w:p w14:paraId="7320FB9E" w14:textId="77777777" w:rsidR="00587F89" w:rsidRPr="00DB46EB" w:rsidRDefault="00587F89" w:rsidP="00587F89">
            <w:pPr>
              <w:spacing w:before="60" w:after="60"/>
              <w:ind w:left="35"/>
              <w:rPr>
                <w:bCs/>
                <w:sz w:val="16"/>
                <w:szCs w:val="16"/>
              </w:rPr>
            </w:pPr>
            <w:r w:rsidRPr="00DB46EB">
              <w:rPr>
                <w:bCs/>
                <w:sz w:val="16"/>
                <w:szCs w:val="16"/>
              </w:rPr>
              <w:t>Con riferimento sia alle opere murarie che agli</w:t>
            </w:r>
            <w:r>
              <w:rPr>
                <w:bCs/>
                <w:sz w:val="16"/>
                <w:szCs w:val="16"/>
              </w:rPr>
              <w:t xml:space="preserve"> </w:t>
            </w:r>
            <w:r w:rsidRPr="00DB46EB">
              <w:rPr>
                <w:bCs/>
                <w:sz w:val="16"/>
                <w:szCs w:val="16"/>
              </w:rPr>
              <w:t>impianti, sono finanziabili le spese relative agli</w:t>
            </w:r>
            <w:r>
              <w:rPr>
                <w:bCs/>
                <w:sz w:val="16"/>
                <w:szCs w:val="16"/>
              </w:rPr>
              <w:t xml:space="preserve"> </w:t>
            </w:r>
            <w:r w:rsidRPr="00DB46EB">
              <w:rPr>
                <w:bCs/>
                <w:sz w:val="16"/>
                <w:szCs w:val="16"/>
              </w:rPr>
              <w:t>acquisti di materiale a condizione che siano fatturate</w:t>
            </w:r>
            <w:r>
              <w:rPr>
                <w:bCs/>
                <w:sz w:val="16"/>
                <w:szCs w:val="16"/>
              </w:rPr>
              <w:t xml:space="preserve"> </w:t>
            </w:r>
            <w:r w:rsidRPr="00DB46EB">
              <w:rPr>
                <w:bCs/>
                <w:sz w:val="16"/>
                <w:szCs w:val="16"/>
              </w:rPr>
              <w:t>le spese per posa e messa in opera corrispondenti al</w:t>
            </w:r>
            <w:r>
              <w:rPr>
                <w:bCs/>
                <w:sz w:val="16"/>
                <w:szCs w:val="16"/>
              </w:rPr>
              <w:t xml:space="preserve"> </w:t>
            </w:r>
            <w:r w:rsidRPr="00DB46EB">
              <w:rPr>
                <w:bCs/>
                <w:sz w:val="16"/>
                <w:szCs w:val="16"/>
              </w:rPr>
              <w:t>medesimo materiale.</w:t>
            </w:r>
          </w:p>
        </w:tc>
      </w:tr>
      <w:tr w:rsidR="00B86683" w:rsidRPr="00040A6D" w14:paraId="024D1810" w14:textId="77777777" w:rsidTr="00B86683">
        <w:trPr>
          <w:trHeight w:val="89"/>
        </w:trPr>
        <w:tc>
          <w:tcPr>
            <w:tcW w:w="417" w:type="pct"/>
            <w:vAlign w:val="center"/>
          </w:tcPr>
          <w:p w14:paraId="6C9AEECA" w14:textId="77777777" w:rsidR="00587F89" w:rsidRDefault="00587F89" w:rsidP="00587F89">
            <w:pPr>
              <w:pStyle w:val="TableParagraph"/>
              <w:spacing w:before="60" w:after="60"/>
              <w:jc w:val="center"/>
              <w:rPr>
                <w:rFonts w:eastAsia="Calibri"/>
                <w:b/>
                <w:w w:val="105"/>
                <w:sz w:val="16"/>
                <w:szCs w:val="16"/>
              </w:rPr>
            </w:pPr>
            <w:r>
              <w:rPr>
                <w:rFonts w:eastAsia="Calibri"/>
                <w:b/>
                <w:w w:val="105"/>
                <w:sz w:val="16"/>
                <w:szCs w:val="16"/>
              </w:rPr>
              <w:t>F</w:t>
            </w:r>
          </w:p>
        </w:tc>
        <w:tc>
          <w:tcPr>
            <w:tcW w:w="832" w:type="pct"/>
            <w:vAlign w:val="center"/>
          </w:tcPr>
          <w:p w14:paraId="0EC7B705" w14:textId="77777777" w:rsidR="00587F89" w:rsidRDefault="00587F89" w:rsidP="00587F89">
            <w:pPr>
              <w:pStyle w:val="TableParagraph"/>
              <w:spacing w:before="60" w:after="60"/>
              <w:jc w:val="center"/>
              <w:rPr>
                <w:rFonts w:eastAsia="Calibri"/>
                <w:b/>
                <w:w w:val="105"/>
                <w:sz w:val="16"/>
                <w:szCs w:val="16"/>
              </w:rPr>
            </w:pPr>
            <w:r>
              <w:rPr>
                <w:rFonts w:eastAsia="Calibri"/>
                <w:b/>
                <w:w w:val="105"/>
                <w:sz w:val="16"/>
                <w:szCs w:val="16"/>
              </w:rPr>
              <w:t>Marketing</w:t>
            </w:r>
          </w:p>
        </w:tc>
        <w:tc>
          <w:tcPr>
            <w:tcW w:w="3751" w:type="pct"/>
            <w:vAlign w:val="center"/>
          </w:tcPr>
          <w:p w14:paraId="1EC4E335" w14:textId="77777777" w:rsidR="00587F89" w:rsidRPr="00DB46EB" w:rsidRDefault="00587F89" w:rsidP="00587F89">
            <w:pPr>
              <w:spacing w:before="60" w:after="60"/>
              <w:ind w:left="35"/>
              <w:rPr>
                <w:bCs/>
                <w:sz w:val="16"/>
                <w:szCs w:val="16"/>
              </w:rPr>
            </w:pPr>
            <w:r w:rsidRPr="00DB46EB">
              <w:rPr>
                <w:bCs/>
                <w:sz w:val="16"/>
                <w:szCs w:val="16"/>
              </w:rPr>
              <w:t>Spese per campagne di marketing e comunicazione su</w:t>
            </w:r>
            <w:r>
              <w:rPr>
                <w:bCs/>
                <w:sz w:val="16"/>
                <w:szCs w:val="16"/>
              </w:rPr>
              <w:t xml:space="preserve"> </w:t>
            </w:r>
            <w:r w:rsidRPr="00DB46EB">
              <w:rPr>
                <w:bCs/>
                <w:sz w:val="16"/>
                <w:szCs w:val="16"/>
              </w:rPr>
              <w:t xml:space="preserve">mercati nazionali </w:t>
            </w:r>
            <w:proofErr w:type="gramStart"/>
            <w:r w:rsidRPr="00DB46EB">
              <w:rPr>
                <w:bCs/>
                <w:sz w:val="16"/>
                <w:szCs w:val="16"/>
              </w:rPr>
              <w:t>e</w:t>
            </w:r>
            <w:proofErr w:type="gramEnd"/>
            <w:r w:rsidRPr="00DB46EB">
              <w:rPr>
                <w:bCs/>
                <w:sz w:val="16"/>
                <w:szCs w:val="16"/>
              </w:rPr>
              <w:t xml:space="preserve"> esteri, pubblicità su social media,</w:t>
            </w:r>
            <w:r>
              <w:rPr>
                <w:bCs/>
                <w:sz w:val="16"/>
                <w:szCs w:val="16"/>
              </w:rPr>
              <w:t xml:space="preserve"> </w:t>
            </w:r>
            <w:r w:rsidRPr="00DB46EB">
              <w:rPr>
                <w:bCs/>
                <w:sz w:val="16"/>
                <w:szCs w:val="16"/>
              </w:rPr>
              <w:t>radio-televisione, carta stampata, affissioni,</w:t>
            </w:r>
            <w:r>
              <w:rPr>
                <w:bCs/>
                <w:sz w:val="16"/>
                <w:szCs w:val="16"/>
              </w:rPr>
              <w:t xml:space="preserve"> </w:t>
            </w:r>
            <w:r w:rsidRPr="00DB46EB">
              <w:rPr>
                <w:bCs/>
                <w:sz w:val="16"/>
                <w:szCs w:val="16"/>
              </w:rPr>
              <w:t>produzione di materiali promozionali (ad esempio:</w:t>
            </w:r>
            <w:r>
              <w:rPr>
                <w:bCs/>
                <w:sz w:val="16"/>
                <w:szCs w:val="16"/>
              </w:rPr>
              <w:t xml:space="preserve"> </w:t>
            </w:r>
            <w:r w:rsidRPr="00DB46EB">
              <w:rPr>
                <w:bCs/>
                <w:sz w:val="16"/>
                <w:szCs w:val="16"/>
              </w:rPr>
              <w:t>video, brochure, etc.).</w:t>
            </w:r>
          </w:p>
        </w:tc>
      </w:tr>
    </w:tbl>
    <w:p w14:paraId="28923C80" w14:textId="77777777" w:rsidR="00587F89" w:rsidRPr="00B953C3" w:rsidRDefault="00587F89" w:rsidP="004A2E75">
      <w:pPr>
        <w:pStyle w:val="Testonotaapidipagina"/>
        <w:spacing w:before="60"/>
        <w:rPr>
          <w:sz w:val="16"/>
          <w:szCs w:val="16"/>
        </w:rPr>
      </w:pPr>
    </w:p>
    <w:p w14:paraId="60AED536" w14:textId="77777777" w:rsidR="004A2E75" w:rsidRPr="009A1B28" w:rsidRDefault="004A2E75" w:rsidP="004A2E75">
      <w:pPr>
        <w:pStyle w:val="Testonotaapidipagina"/>
        <w:spacing w:before="60"/>
        <w:rPr>
          <w:sz w:val="16"/>
          <w:szCs w:val="16"/>
        </w:rPr>
      </w:pPr>
    </w:p>
  </w:endnote>
  <w:endnote w:id="2">
    <w:p w14:paraId="2E3658C0" w14:textId="7295A3BC" w:rsidR="004A2E75" w:rsidRPr="00022EE8" w:rsidRDefault="004A2E75" w:rsidP="004A2E75">
      <w:pPr>
        <w:pStyle w:val="Testonotadichiusura"/>
        <w:spacing w:before="60"/>
        <w:jc w:val="both"/>
        <w:rPr>
          <w:rStyle w:val="Rimandonotadichiusura"/>
          <w:i/>
          <w:sz w:val="16"/>
          <w:szCs w:val="16"/>
        </w:rPr>
      </w:pPr>
    </w:p>
  </w:endnote>
  <w:endnote w:id="3">
    <w:p w14:paraId="75F7994F" w14:textId="71B74CF2" w:rsidR="004A2E75" w:rsidRPr="00022EE8" w:rsidRDefault="004A2E75" w:rsidP="00A64A0D">
      <w:pPr>
        <w:pStyle w:val="Testonotadichiusura"/>
        <w:spacing w:before="60"/>
        <w:jc w:val="both"/>
        <w:rPr>
          <w:rStyle w:val="Rimandonotadichiusura"/>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6F06" w14:textId="5C5D338A" w:rsidR="004A2E75" w:rsidRPr="004A2E75" w:rsidRDefault="004A2E75" w:rsidP="00165760">
    <w:pPr>
      <w:spacing w:before="120" w:after="120"/>
      <w:rPr>
        <w:sz w:val="24"/>
        <w:szCs w:val="24"/>
      </w:rPr>
    </w:pPr>
    <w:r w:rsidRPr="008026FD">
      <w:rPr>
        <w:bCs/>
        <w:i/>
        <w:iCs/>
        <w:sz w:val="14"/>
        <w:szCs w:val="14"/>
      </w:rPr>
      <w:t xml:space="preserve">PR Veneto FESR 2021-27 - Fondo Veneto Competitività - “Sezione </w:t>
    </w:r>
    <w:r w:rsidR="00587F89" w:rsidRPr="00587F89">
      <w:rPr>
        <w:bCs/>
        <w:i/>
        <w:iCs/>
        <w:sz w:val="14"/>
        <w:szCs w:val="14"/>
      </w:rPr>
      <w:t xml:space="preserve">Start </w:t>
    </w:r>
    <w:r w:rsidR="00587F89">
      <w:rPr>
        <w:bCs/>
        <w:i/>
        <w:iCs/>
        <w:sz w:val="14"/>
        <w:szCs w:val="14"/>
      </w:rPr>
      <w:t>U</w:t>
    </w:r>
    <w:r w:rsidR="00587F89" w:rsidRPr="00587F89">
      <w:rPr>
        <w:bCs/>
        <w:i/>
        <w:iCs/>
        <w:sz w:val="14"/>
        <w:szCs w:val="14"/>
      </w:rPr>
      <w:t>p</w:t>
    </w:r>
    <w:r w:rsidRPr="008026FD">
      <w:rPr>
        <w:bCs/>
        <w:i/>
        <w:iCs/>
        <w:sz w:val="14"/>
        <w:szCs w:val="14"/>
      </w:rPr>
      <w:t xml:space="preserve">” – </w:t>
    </w:r>
    <w:r w:rsidRPr="004A2E75">
      <w:rPr>
        <w:bCs/>
        <w:i/>
        <w:iCs/>
        <w:sz w:val="14"/>
        <w:szCs w:val="14"/>
      </w:rPr>
      <w:t>Addendum alla Scheda tecnica del Programma di investimento</w:t>
    </w:r>
    <w:r w:rsidR="00165760">
      <w:rPr>
        <w:bCs/>
        <w:i/>
        <w:iCs/>
        <w:sz w:val="14"/>
        <w:szCs w:val="14"/>
      </w:rPr>
      <w:t xml:space="preserve"> -                        pag. </w:t>
    </w:r>
    <w:r w:rsidR="007E15EC">
      <w:rPr>
        <w:bCs/>
        <w:i/>
        <w:iCs/>
        <w:sz w:val="14"/>
        <w:szCs w:val="14"/>
      </w:rPr>
      <w:t>2</w:t>
    </w:r>
    <w:r w:rsidR="00165760">
      <w:rPr>
        <w:bCs/>
        <w:i/>
        <w:iCs/>
        <w:sz w:val="14"/>
        <w:szCs w:val="14"/>
      </w:rPr>
      <w:t>/</w:t>
    </w:r>
    <w:r w:rsidR="00587F89">
      <w:rPr>
        <w:bCs/>
        <w:i/>
        <w:iCs/>
        <w:sz w:val="14"/>
        <w:szCs w:val="14"/>
      </w:rPr>
      <w:t>2</w:t>
    </w:r>
  </w:p>
  <w:p w14:paraId="193CE38C" w14:textId="05BE163F" w:rsidR="004A2E75" w:rsidRDefault="004A2E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53F2" w14:textId="77777777" w:rsidR="007E15EC" w:rsidRPr="004A2E75" w:rsidRDefault="007E15EC" w:rsidP="007E15EC">
    <w:pPr>
      <w:spacing w:before="120" w:after="120"/>
      <w:rPr>
        <w:sz w:val="24"/>
        <w:szCs w:val="24"/>
      </w:rPr>
    </w:pPr>
    <w:r w:rsidRPr="008026FD">
      <w:rPr>
        <w:bCs/>
        <w:i/>
        <w:iCs/>
        <w:sz w:val="14"/>
        <w:szCs w:val="14"/>
      </w:rPr>
      <w:t xml:space="preserve">PR Veneto FESR 2021-27 - Fondo Veneto Competitività - “Sezione </w:t>
    </w:r>
    <w:r w:rsidRPr="00587F89">
      <w:rPr>
        <w:bCs/>
        <w:i/>
        <w:iCs/>
        <w:sz w:val="14"/>
        <w:szCs w:val="14"/>
      </w:rPr>
      <w:t xml:space="preserve">Start </w:t>
    </w:r>
    <w:r>
      <w:rPr>
        <w:bCs/>
        <w:i/>
        <w:iCs/>
        <w:sz w:val="14"/>
        <w:szCs w:val="14"/>
      </w:rPr>
      <w:t>U</w:t>
    </w:r>
    <w:r w:rsidRPr="00587F89">
      <w:rPr>
        <w:bCs/>
        <w:i/>
        <w:iCs/>
        <w:sz w:val="14"/>
        <w:szCs w:val="14"/>
      </w:rPr>
      <w:t>p</w:t>
    </w:r>
    <w:r w:rsidRPr="008026FD">
      <w:rPr>
        <w:bCs/>
        <w:i/>
        <w:iCs/>
        <w:sz w:val="14"/>
        <w:szCs w:val="14"/>
      </w:rPr>
      <w:t xml:space="preserve">” – </w:t>
    </w:r>
    <w:r w:rsidRPr="004A2E75">
      <w:rPr>
        <w:bCs/>
        <w:i/>
        <w:iCs/>
        <w:sz w:val="14"/>
        <w:szCs w:val="14"/>
      </w:rPr>
      <w:t>Addendum alla Scheda tecnica del Programma di investimento</w:t>
    </w:r>
    <w:r>
      <w:rPr>
        <w:bCs/>
        <w:i/>
        <w:iCs/>
        <w:sz w:val="14"/>
        <w:szCs w:val="14"/>
      </w:rPr>
      <w:t xml:space="preserve"> -                        pag. 1/2</w:t>
    </w:r>
  </w:p>
  <w:p w14:paraId="42251CF2" w14:textId="77777777" w:rsidR="007E15EC" w:rsidRDefault="007E15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1078" w14:textId="77777777" w:rsidR="00576D1F" w:rsidRDefault="00576D1F" w:rsidP="004A2E75">
      <w:r>
        <w:separator/>
      </w:r>
    </w:p>
  </w:footnote>
  <w:footnote w:type="continuationSeparator" w:id="0">
    <w:p w14:paraId="597DA571" w14:textId="77777777" w:rsidR="00576D1F" w:rsidRDefault="00576D1F" w:rsidP="004A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978E" w14:textId="777915B8" w:rsidR="004A2E75" w:rsidRPr="004A2E75" w:rsidRDefault="004A2E75" w:rsidP="004A2E75">
    <w:pPr>
      <w:spacing w:before="120" w:after="120"/>
      <w:jc w:val="center"/>
      <w:rPr>
        <w:b/>
      </w:rPr>
    </w:pPr>
    <w:r w:rsidRPr="004A2E75">
      <w:rPr>
        <w:noProof/>
      </w:rPr>
      <w:drawing>
        <wp:anchor distT="0" distB="0" distL="114300" distR="114300" simplePos="0" relativeHeight="251658240" behindDoc="0" locked="0" layoutInCell="1" allowOverlap="1" wp14:anchorId="16976093" wp14:editId="39173BAC">
          <wp:simplePos x="0" y="0"/>
          <wp:positionH relativeFrom="column">
            <wp:posOffset>864870</wp:posOffset>
          </wp:positionH>
          <wp:positionV relativeFrom="paragraph">
            <wp:posOffset>-349250</wp:posOffset>
          </wp:positionV>
          <wp:extent cx="3895090" cy="589280"/>
          <wp:effectExtent l="0" t="0" r="0" b="1270"/>
          <wp:wrapTopAndBottom/>
          <wp:docPr id="1087631357" name="Immagine 1" descr="Immagine che contiene schermata, grafica, Elementi grafici, cartone anim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69843" name="Immagine 1" descr="Immagine che contiene schermata, grafica, Elementi grafici, cartone anima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09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E75">
      <w:rPr>
        <w:b/>
      </w:rPr>
      <w:t>Fondo Veneto Competitività “</w:t>
    </w:r>
    <w:r w:rsidR="00587F89" w:rsidRPr="00587F89">
      <w:rPr>
        <w:b/>
      </w:rPr>
      <w:t xml:space="preserve">Sezione Start </w:t>
    </w:r>
    <w:r w:rsidR="00587F89">
      <w:rPr>
        <w:b/>
      </w:rPr>
      <w:t>U</w:t>
    </w:r>
    <w:r w:rsidR="00587F89" w:rsidRPr="00587F89">
      <w:rPr>
        <w:b/>
      </w:rPr>
      <w:t>p</w:t>
    </w:r>
    <w:r w:rsidRPr="004A2E75">
      <w:rPr>
        <w:b/>
      </w:rPr>
      <w:t>” - PR Veneto FESR 2021-2027</w:t>
    </w:r>
  </w:p>
  <w:p w14:paraId="2F989899" w14:textId="0C22FF46" w:rsidR="004A2E75" w:rsidRPr="004A2E75" w:rsidRDefault="004A2E75" w:rsidP="004A2E75">
    <w:pPr>
      <w:spacing w:before="120" w:after="120"/>
      <w:jc w:val="center"/>
      <w:rPr>
        <w:sz w:val="24"/>
        <w:szCs w:val="24"/>
      </w:rPr>
    </w:pPr>
    <w:r w:rsidRPr="004A2E75">
      <w:rPr>
        <w:bCs/>
        <w:i/>
        <w:iCs/>
        <w:sz w:val="24"/>
        <w:szCs w:val="24"/>
      </w:rPr>
      <w:t>Addendum alla Scheda tecnica del Programma di investimento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5D5D" w14:textId="77777777" w:rsidR="007E15EC" w:rsidRPr="004A2E75" w:rsidRDefault="007E15EC" w:rsidP="007E15EC">
    <w:pPr>
      <w:spacing w:before="120" w:after="120"/>
      <w:jc w:val="center"/>
      <w:rPr>
        <w:b/>
      </w:rPr>
    </w:pPr>
    <w:r w:rsidRPr="004A2E75">
      <w:rPr>
        <w:noProof/>
      </w:rPr>
      <w:drawing>
        <wp:anchor distT="0" distB="0" distL="114300" distR="114300" simplePos="0" relativeHeight="251660288" behindDoc="0" locked="0" layoutInCell="1" allowOverlap="1" wp14:anchorId="09E0E340" wp14:editId="137AC7DF">
          <wp:simplePos x="0" y="0"/>
          <wp:positionH relativeFrom="column">
            <wp:posOffset>864870</wp:posOffset>
          </wp:positionH>
          <wp:positionV relativeFrom="paragraph">
            <wp:posOffset>-349250</wp:posOffset>
          </wp:positionV>
          <wp:extent cx="3895090" cy="589280"/>
          <wp:effectExtent l="0" t="0" r="0" b="1270"/>
          <wp:wrapTopAndBottom/>
          <wp:docPr id="1010231139" name="Immagine 1" descr="Immagine che contiene schermata, grafica, Elementi grafici, cartone anim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69843" name="Immagine 1" descr="Immagine che contiene schermata, grafica, Elementi grafici, cartone anima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09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E75">
      <w:rPr>
        <w:b/>
      </w:rPr>
      <w:t>Fondo Veneto Competitività “</w:t>
    </w:r>
    <w:r w:rsidRPr="00587F89">
      <w:rPr>
        <w:b/>
      </w:rPr>
      <w:t xml:space="preserve">Sezione Start </w:t>
    </w:r>
    <w:r>
      <w:rPr>
        <w:b/>
      </w:rPr>
      <w:t>U</w:t>
    </w:r>
    <w:r w:rsidRPr="00587F89">
      <w:rPr>
        <w:b/>
      </w:rPr>
      <w:t>p</w:t>
    </w:r>
    <w:r w:rsidRPr="004A2E75">
      <w:rPr>
        <w:b/>
      </w:rPr>
      <w:t>” - PR Veneto FESR 2021-2027</w:t>
    </w:r>
  </w:p>
  <w:p w14:paraId="55BE8AD5" w14:textId="77777777" w:rsidR="007E15EC" w:rsidRPr="004A2E75" w:rsidRDefault="007E15EC" w:rsidP="007E15EC">
    <w:pPr>
      <w:spacing w:before="120" w:after="120"/>
      <w:jc w:val="center"/>
      <w:rPr>
        <w:sz w:val="24"/>
        <w:szCs w:val="24"/>
      </w:rPr>
    </w:pPr>
    <w:r w:rsidRPr="004A2E75">
      <w:rPr>
        <w:bCs/>
        <w:i/>
        <w:iCs/>
        <w:sz w:val="24"/>
        <w:szCs w:val="24"/>
      </w:rPr>
      <w:t>Addendum alla Scheda tecnica del Programma di investimento</w:t>
    </w:r>
  </w:p>
  <w:p w14:paraId="71947AF3" w14:textId="77777777" w:rsidR="007E15EC" w:rsidRDefault="007E15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4E6"/>
    <w:multiLevelType w:val="hybridMultilevel"/>
    <w:tmpl w:val="5B8463BE"/>
    <w:lvl w:ilvl="0" w:tplc="8BACAA78">
      <w:numFmt w:val="bullet"/>
      <w:lvlText w:val="-"/>
      <w:lvlJc w:val="left"/>
      <w:pPr>
        <w:ind w:left="987" w:hanging="381"/>
      </w:pPr>
      <w:rPr>
        <w:rFonts w:ascii="Times New Roman" w:eastAsia="Times New Roman" w:hAnsi="Times New Roman" w:cs="Times New Roman" w:hint="default"/>
        <w:b w:val="0"/>
        <w:bCs w:val="0"/>
        <w:i w:val="0"/>
        <w:iCs w:val="0"/>
        <w:spacing w:val="0"/>
        <w:w w:val="99"/>
        <w:sz w:val="17"/>
        <w:szCs w:val="17"/>
        <w:lang w:val="it-IT" w:eastAsia="en-US" w:bidi="ar-SA"/>
      </w:rPr>
    </w:lvl>
    <w:lvl w:ilvl="1" w:tplc="6A604A8E">
      <w:numFmt w:val="bullet"/>
      <w:lvlText w:val="•"/>
      <w:lvlJc w:val="left"/>
      <w:pPr>
        <w:ind w:left="1316" w:hanging="381"/>
      </w:pPr>
      <w:rPr>
        <w:rFonts w:hint="default"/>
        <w:lang w:val="it-IT" w:eastAsia="en-US" w:bidi="ar-SA"/>
      </w:rPr>
    </w:lvl>
    <w:lvl w:ilvl="2" w:tplc="8208D528">
      <w:numFmt w:val="bullet"/>
      <w:lvlText w:val="•"/>
      <w:lvlJc w:val="left"/>
      <w:pPr>
        <w:ind w:left="1654" w:hanging="381"/>
      </w:pPr>
      <w:rPr>
        <w:rFonts w:hint="default"/>
        <w:lang w:val="it-IT" w:eastAsia="en-US" w:bidi="ar-SA"/>
      </w:rPr>
    </w:lvl>
    <w:lvl w:ilvl="3" w:tplc="F63CEA2C">
      <w:numFmt w:val="bullet"/>
      <w:lvlText w:val="•"/>
      <w:lvlJc w:val="left"/>
      <w:pPr>
        <w:ind w:left="1992" w:hanging="381"/>
      </w:pPr>
      <w:rPr>
        <w:rFonts w:hint="default"/>
        <w:lang w:val="it-IT" w:eastAsia="en-US" w:bidi="ar-SA"/>
      </w:rPr>
    </w:lvl>
    <w:lvl w:ilvl="4" w:tplc="521C956A">
      <w:numFmt w:val="bullet"/>
      <w:lvlText w:val="•"/>
      <w:lvlJc w:val="left"/>
      <w:pPr>
        <w:ind w:left="2331" w:hanging="381"/>
      </w:pPr>
      <w:rPr>
        <w:rFonts w:hint="default"/>
        <w:lang w:val="it-IT" w:eastAsia="en-US" w:bidi="ar-SA"/>
      </w:rPr>
    </w:lvl>
    <w:lvl w:ilvl="5" w:tplc="9148E78E">
      <w:numFmt w:val="bullet"/>
      <w:lvlText w:val="•"/>
      <w:lvlJc w:val="left"/>
      <w:pPr>
        <w:ind w:left="2669" w:hanging="381"/>
      </w:pPr>
      <w:rPr>
        <w:rFonts w:hint="default"/>
        <w:lang w:val="it-IT" w:eastAsia="en-US" w:bidi="ar-SA"/>
      </w:rPr>
    </w:lvl>
    <w:lvl w:ilvl="6" w:tplc="F34C6FFC">
      <w:numFmt w:val="bullet"/>
      <w:lvlText w:val="•"/>
      <w:lvlJc w:val="left"/>
      <w:pPr>
        <w:ind w:left="3007" w:hanging="381"/>
      </w:pPr>
      <w:rPr>
        <w:rFonts w:hint="default"/>
        <w:lang w:val="it-IT" w:eastAsia="en-US" w:bidi="ar-SA"/>
      </w:rPr>
    </w:lvl>
    <w:lvl w:ilvl="7" w:tplc="A552C486">
      <w:numFmt w:val="bullet"/>
      <w:lvlText w:val="•"/>
      <w:lvlJc w:val="left"/>
      <w:pPr>
        <w:ind w:left="3346" w:hanging="381"/>
      </w:pPr>
      <w:rPr>
        <w:rFonts w:hint="default"/>
        <w:lang w:val="it-IT" w:eastAsia="en-US" w:bidi="ar-SA"/>
      </w:rPr>
    </w:lvl>
    <w:lvl w:ilvl="8" w:tplc="0004F9CE">
      <w:numFmt w:val="bullet"/>
      <w:lvlText w:val="•"/>
      <w:lvlJc w:val="left"/>
      <w:pPr>
        <w:ind w:left="3684" w:hanging="381"/>
      </w:pPr>
      <w:rPr>
        <w:rFonts w:hint="default"/>
        <w:lang w:val="it-IT" w:eastAsia="en-US" w:bidi="ar-SA"/>
      </w:rPr>
    </w:lvl>
  </w:abstractNum>
  <w:abstractNum w:abstractNumId="1" w15:restartNumberingAfterBreak="0">
    <w:nsid w:val="13025C23"/>
    <w:multiLevelType w:val="hybridMultilevel"/>
    <w:tmpl w:val="CF7698E6"/>
    <w:lvl w:ilvl="0" w:tplc="8E7A5FF6">
      <w:numFmt w:val="bullet"/>
      <w:lvlText w:val="-"/>
      <w:lvlJc w:val="left"/>
      <w:pPr>
        <w:ind w:left="755" w:hanging="360"/>
      </w:pPr>
      <w:rPr>
        <w:rFonts w:ascii="Times New Roman" w:eastAsia="Times New Roman" w:hAnsi="Times New Roman" w:cs="Times New Roman" w:hint="default"/>
        <w:sz w:val="16"/>
      </w:rPr>
    </w:lvl>
    <w:lvl w:ilvl="1" w:tplc="04100003" w:tentative="1">
      <w:start w:val="1"/>
      <w:numFmt w:val="bullet"/>
      <w:lvlText w:val="o"/>
      <w:lvlJc w:val="left"/>
      <w:pPr>
        <w:ind w:left="1475" w:hanging="360"/>
      </w:pPr>
      <w:rPr>
        <w:rFonts w:ascii="Courier New" w:hAnsi="Courier New" w:cs="Courier New" w:hint="default"/>
      </w:rPr>
    </w:lvl>
    <w:lvl w:ilvl="2" w:tplc="04100005" w:tentative="1">
      <w:start w:val="1"/>
      <w:numFmt w:val="bullet"/>
      <w:lvlText w:val=""/>
      <w:lvlJc w:val="left"/>
      <w:pPr>
        <w:ind w:left="2195" w:hanging="360"/>
      </w:pPr>
      <w:rPr>
        <w:rFonts w:ascii="Wingdings" w:hAnsi="Wingdings" w:hint="default"/>
      </w:rPr>
    </w:lvl>
    <w:lvl w:ilvl="3" w:tplc="04100001" w:tentative="1">
      <w:start w:val="1"/>
      <w:numFmt w:val="bullet"/>
      <w:lvlText w:val=""/>
      <w:lvlJc w:val="left"/>
      <w:pPr>
        <w:ind w:left="2915" w:hanging="360"/>
      </w:pPr>
      <w:rPr>
        <w:rFonts w:ascii="Symbol" w:hAnsi="Symbol" w:hint="default"/>
      </w:rPr>
    </w:lvl>
    <w:lvl w:ilvl="4" w:tplc="04100003" w:tentative="1">
      <w:start w:val="1"/>
      <w:numFmt w:val="bullet"/>
      <w:lvlText w:val="o"/>
      <w:lvlJc w:val="left"/>
      <w:pPr>
        <w:ind w:left="3635" w:hanging="360"/>
      </w:pPr>
      <w:rPr>
        <w:rFonts w:ascii="Courier New" w:hAnsi="Courier New" w:cs="Courier New" w:hint="default"/>
      </w:rPr>
    </w:lvl>
    <w:lvl w:ilvl="5" w:tplc="04100005" w:tentative="1">
      <w:start w:val="1"/>
      <w:numFmt w:val="bullet"/>
      <w:lvlText w:val=""/>
      <w:lvlJc w:val="left"/>
      <w:pPr>
        <w:ind w:left="4355" w:hanging="360"/>
      </w:pPr>
      <w:rPr>
        <w:rFonts w:ascii="Wingdings" w:hAnsi="Wingdings" w:hint="default"/>
      </w:rPr>
    </w:lvl>
    <w:lvl w:ilvl="6" w:tplc="04100001" w:tentative="1">
      <w:start w:val="1"/>
      <w:numFmt w:val="bullet"/>
      <w:lvlText w:val=""/>
      <w:lvlJc w:val="left"/>
      <w:pPr>
        <w:ind w:left="5075" w:hanging="360"/>
      </w:pPr>
      <w:rPr>
        <w:rFonts w:ascii="Symbol" w:hAnsi="Symbol" w:hint="default"/>
      </w:rPr>
    </w:lvl>
    <w:lvl w:ilvl="7" w:tplc="04100003" w:tentative="1">
      <w:start w:val="1"/>
      <w:numFmt w:val="bullet"/>
      <w:lvlText w:val="o"/>
      <w:lvlJc w:val="left"/>
      <w:pPr>
        <w:ind w:left="5795" w:hanging="360"/>
      </w:pPr>
      <w:rPr>
        <w:rFonts w:ascii="Courier New" w:hAnsi="Courier New" w:cs="Courier New" w:hint="default"/>
      </w:rPr>
    </w:lvl>
    <w:lvl w:ilvl="8" w:tplc="04100005" w:tentative="1">
      <w:start w:val="1"/>
      <w:numFmt w:val="bullet"/>
      <w:lvlText w:val=""/>
      <w:lvlJc w:val="left"/>
      <w:pPr>
        <w:ind w:left="6515" w:hanging="360"/>
      </w:pPr>
      <w:rPr>
        <w:rFonts w:ascii="Wingdings" w:hAnsi="Wingdings" w:hint="default"/>
      </w:rPr>
    </w:lvl>
  </w:abstractNum>
  <w:abstractNum w:abstractNumId="2" w15:restartNumberingAfterBreak="0">
    <w:nsid w:val="2A98352B"/>
    <w:multiLevelType w:val="hybridMultilevel"/>
    <w:tmpl w:val="DBAE387C"/>
    <w:lvl w:ilvl="0" w:tplc="04100001">
      <w:start w:val="1"/>
      <w:numFmt w:val="bullet"/>
      <w:lvlText w:val=""/>
      <w:lvlJc w:val="left"/>
      <w:pPr>
        <w:ind w:left="755" w:hanging="360"/>
      </w:pPr>
      <w:rPr>
        <w:rFonts w:ascii="Symbol" w:hAnsi="Symbol" w:hint="default"/>
        <w:sz w:val="16"/>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 w15:restartNumberingAfterBreak="0">
    <w:nsid w:val="702F1748"/>
    <w:multiLevelType w:val="hybridMultilevel"/>
    <w:tmpl w:val="A6A0C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0255858">
    <w:abstractNumId w:val="0"/>
  </w:num>
  <w:num w:numId="2" w16cid:durableId="1815365144">
    <w:abstractNumId w:val="1"/>
  </w:num>
  <w:num w:numId="3" w16cid:durableId="2066367074">
    <w:abstractNumId w:val="3"/>
  </w:num>
  <w:num w:numId="4" w16cid:durableId="1061513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75"/>
    <w:rsid w:val="00034350"/>
    <w:rsid w:val="00111DD2"/>
    <w:rsid w:val="00155D5D"/>
    <w:rsid w:val="00165760"/>
    <w:rsid w:val="002968DF"/>
    <w:rsid w:val="004A2E75"/>
    <w:rsid w:val="00553294"/>
    <w:rsid w:val="00576D1F"/>
    <w:rsid w:val="00587F89"/>
    <w:rsid w:val="00673B01"/>
    <w:rsid w:val="007E15EC"/>
    <w:rsid w:val="00967469"/>
    <w:rsid w:val="009A038D"/>
    <w:rsid w:val="00A64A0D"/>
    <w:rsid w:val="00B86683"/>
    <w:rsid w:val="00C2635C"/>
    <w:rsid w:val="00D74FA8"/>
    <w:rsid w:val="00E81A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978D7"/>
  <w15:chartTrackingRefBased/>
  <w15:docId w15:val="{EBEEF849-F5A8-4B26-871E-170316EC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2E75"/>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4A2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A2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A2E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A2E7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A2E7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A2E7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A2E7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A2E7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A2E7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A2E7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A2E7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A2E7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A2E7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A2E7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A2E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A2E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A2E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A2E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A2E7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A2E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A2E7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A2E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A2E7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A2E75"/>
    <w:rPr>
      <w:i/>
      <w:iCs/>
      <w:color w:val="404040" w:themeColor="text1" w:themeTint="BF"/>
    </w:rPr>
  </w:style>
  <w:style w:type="paragraph" w:styleId="Paragrafoelenco">
    <w:name w:val="List Paragraph"/>
    <w:basedOn w:val="Normale"/>
    <w:uiPriority w:val="34"/>
    <w:qFormat/>
    <w:rsid w:val="004A2E75"/>
    <w:pPr>
      <w:ind w:left="720"/>
      <w:contextualSpacing/>
    </w:pPr>
  </w:style>
  <w:style w:type="character" w:styleId="Enfasiintensa">
    <w:name w:val="Intense Emphasis"/>
    <w:basedOn w:val="Carpredefinitoparagrafo"/>
    <w:uiPriority w:val="21"/>
    <w:qFormat/>
    <w:rsid w:val="004A2E75"/>
    <w:rPr>
      <w:i/>
      <w:iCs/>
      <w:color w:val="0F4761" w:themeColor="accent1" w:themeShade="BF"/>
    </w:rPr>
  </w:style>
  <w:style w:type="paragraph" w:styleId="Citazioneintensa">
    <w:name w:val="Intense Quote"/>
    <w:basedOn w:val="Normale"/>
    <w:next w:val="Normale"/>
    <w:link w:val="CitazioneintensaCarattere"/>
    <w:uiPriority w:val="30"/>
    <w:qFormat/>
    <w:rsid w:val="004A2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A2E75"/>
    <w:rPr>
      <w:i/>
      <w:iCs/>
      <w:color w:val="0F4761" w:themeColor="accent1" w:themeShade="BF"/>
    </w:rPr>
  </w:style>
  <w:style w:type="character" w:styleId="Riferimentointenso">
    <w:name w:val="Intense Reference"/>
    <w:basedOn w:val="Carpredefinitoparagrafo"/>
    <w:uiPriority w:val="32"/>
    <w:qFormat/>
    <w:rsid w:val="004A2E75"/>
    <w:rPr>
      <w:b/>
      <w:bCs/>
      <w:smallCaps/>
      <w:color w:val="0F4761" w:themeColor="accent1" w:themeShade="BF"/>
      <w:spacing w:val="5"/>
    </w:rPr>
  </w:style>
  <w:style w:type="paragraph" w:styleId="Intestazione">
    <w:name w:val="header"/>
    <w:basedOn w:val="Normale"/>
    <w:link w:val="IntestazioneCarattere"/>
    <w:unhideWhenUsed/>
    <w:rsid w:val="004A2E75"/>
    <w:pPr>
      <w:tabs>
        <w:tab w:val="center" w:pos="4819"/>
        <w:tab w:val="right" w:pos="9638"/>
      </w:tabs>
    </w:pPr>
  </w:style>
  <w:style w:type="character" w:customStyle="1" w:styleId="IntestazioneCarattere">
    <w:name w:val="Intestazione Carattere"/>
    <w:basedOn w:val="Carpredefinitoparagrafo"/>
    <w:link w:val="Intestazione"/>
    <w:rsid w:val="004A2E75"/>
  </w:style>
  <w:style w:type="paragraph" w:styleId="Pidipagina">
    <w:name w:val="footer"/>
    <w:basedOn w:val="Normale"/>
    <w:link w:val="PidipaginaCarattere"/>
    <w:uiPriority w:val="99"/>
    <w:unhideWhenUsed/>
    <w:rsid w:val="004A2E75"/>
    <w:pPr>
      <w:tabs>
        <w:tab w:val="center" w:pos="4819"/>
        <w:tab w:val="right" w:pos="9638"/>
      </w:tabs>
    </w:pPr>
  </w:style>
  <w:style w:type="character" w:customStyle="1" w:styleId="PidipaginaCarattere">
    <w:name w:val="Piè di pagina Carattere"/>
    <w:basedOn w:val="Carpredefinitoparagrafo"/>
    <w:link w:val="Pidipagina"/>
    <w:uiPriority w:val="99"/>
    <w:rsid w:val="004A2E75"/>
  </w:style>
  <w:style w:type="paragraph" w:styleId="Testonotaapidipagina">
    <w:name w:val="footnote text"/>
    <w:basedOn w:val="Normale"/>
    <w:link w:val="TestonotaapidipaginaCarattere"/>
    <w:semiHidden/>
    <w:rsid w:val="004A2E75"/>
  </w:style>
  <w:style w:type="character" w:customStyle="1" w:styleId="TestonotaapidipaginaCarattere">
    <w:name w:val="Testo nota a piè di pagina Carattere"/>
    <w:basedOn w:val="Carpredefinitoparagrafo"/>
    <w:link w:val="Testonotaapidipagina"/>
    <w:semiHidden/>
    <w:rsid w:val="004A2E75"/>
    <w:rPr>
      <w:rFonts w:ascii="Times New Roman" w:eastAsia="Times New Roman" w:hAnsi="Times New Roman" w:cs="Times New Roman"/>
      <w:kern w:val="0"/>
      <w:sz w:val="20"/>
      <w:szCs w:val="20"/>
      <w:lang w:eastAsia="it-IT"/>
      <w14:ligatures w14:val="none"/>
    </w:rPr>
  </w:style>
  <w:style w:type="paragraph" w:styleId="Testonotadichiusura">
    <w:name w:val="endnote text"/>
    <w:basedOn w:val="Normale"/>
    <w:link w:val="TestonotadichiusuraCarattere"/>
    <w:rsid w:val="004A2E75"/>
  </w:style>
  <w:style w:type="character" w:customStyle="1" w:styleId="TestonotadichiusuraCarattere">
    <w:name w:val="Testo nota di chiusura Carattere"/>
    <w:basedOn w:val="Carpredefinitoparagrafo"/>
    <w:link w:val="Testonotadichiusura"/>
    <w:rsid w:val="004A2E75"/>
    <w:rPr>
      <w:rFonts w:ascii="Times New Roman" w:eastAsia="Times New Roman" w:hAnsi="Times New Roman" w:cs="Times New Roman"/>
      <w:kern w:val="0"/>
      <w:sz w:val="20"/>
      <w:szCs w:val="20"/>
      <w:lang w:eastAsia="it-IT"/>
      <w14:ligatures w14:val="none"/>
    </w:rPr>
  </w:style>
  <w:style w:type="character" w:styleId="Rimandonotadichiusura">
    <w:name w:val="endnote reference"/>
    <w:semiHidden/>
    <w:rsid w:val="004A2E75"/>
    <w:rPr>
      <w:vertAlign w:val="superscript"/>
    </w:rPr>
  </w:style>
  <w:style w:type="paragraph" w:customStyle="1" w:styleId="TableParagraph">
    <w:name w:val="Table Paragraph"/>
    <w:basedOn w:val="Normale"/>
    <w:uiPriority w:val="1"/>
    <w:qFormat/>
    <w:rsid w:val="004A2E75"/>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1B262-8934-431D-911F-1588736D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69</Words>
  <Characters>396</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Zanetti Marco - Veneto Sviluppo</dc:creator>
  <cp:keywords/>
  <dc:description/>
  <cp:lastModifiedBy>Rampin Marco - Veneto Sviluppo</cp:lastModifiedBy>
  <cp:revision>7</cp:revision>
  <dcterms:created xsi:type="dcterms:W3CDTF">2024-03-20T13:06:00Z</dcterms:created>
  <dcterms:modified xsi:type="dcterms:W3CDTF">2026-03-20T11:02:00Z</dcterms:modified>
</cp:coreProperties>
</file>